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ПРАКТИЧЕСКАЯ РАБОТА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Разработка проекта межевания территории микрорайона 6 района Коньково города Москвы</w:t>
      </w:r>
    </w:p>
    <w:p/>
    <w:p/>
    <w:p/>
    <w:p>
      <w:pPr>
        <w:jc w:val="center"/>
      </w:pPr>
      <w:r>
        <w:rPr>
          <w:rFonts w:ascii="Times New Roman" w:hAnsi="Times New Roman"/>
          <w:i/>
          <w:sz w:val="26"/>
        </w:rPr>
        <w:t>Исходные данные:</w:t>
        <w:br/>
        <w:t>Постановление Правительства Москвы</w:t>
        <w:br/>
        <w:t>от 03.08.2020 № 1168-ПП</w:t>
      </w:r>
    </w:p>
    <w:p/>
    <w:p/>
    <w:p/>
    <w:p/>
    <w:p/>
    <w:p/>
    <w:p/>
    <w:p/>
    <w:p/>
    <w:p/>
    <w:p>
      <w:pPr>
        <w:jc w:val="center"/>
      </w:pPr>
      <w:r>
        <w:rPr>
          <w:rFonts w:ascii="Times New Roman" w:hAnsi="Times New Roman"/>
          <w:sz w:val="26"/>
        </w:rPr>
        <w:t>Москва, 2026 г.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СОДЕРЖАНИЕ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Введение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Этап 1. Анализ исходной градостроительной документации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1.1. Сбор данных о территории проектирования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1.2. Анализ существующего положения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1.3. Анализ рельефа и природных условий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Этап 2. Проектные решения по межеванию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2.1. Перечень образуемых земельных участков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2.2. Способы образования земельных участков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2.3. Виды разрешённого использования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2.4. Зоны с особыми условиями использования территории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Этап 4. Текстовая часть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4.1. Пояснительная записка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4.2. Таблица характеристик образуемых земельных участков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4.3. Ведомость координат характерных точек границ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Этап 6. Оформление отчёта (состав, приложения)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Вопросы для обсуждения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Источники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color w:val="000000"/>
        </w:rPr>
        <w:t>ВВЕДЕНИЕ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Район Коньково расположен в центральной части Юго-Западного административного округа города Москвы. Территория района ограничена улицами Профсоюзная, Островитянова, Академика Опарина, Миклухо-Маклая, Академика Волгина, Обручева и западной границей природно-исторического парка «Битцевский лес».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Постановлением Правительства Москвы от 3 августа 2020 г. № 1168-ПП «Об утверждении проекта планировки территории микрорайона 6 района Коньково города Москвы» в рамках реализации Программы реновации жилищного фонда в городе Москве утверждён проект планировки территории микрорайона 6 (далее — ППТ). Настоящая работа выполнена на основе указанного ППТ и предусматривает разработку проектных решений по межеванию территории микрорайона 6.</w:t>
      </w:r>
    </w:p>
    <w:p>
      <w:pPr>
        <w:pStyle w:val="Heading1"/>
      </w:pPr>
      <w:r>
        <w:rPr>
          <w:rFonts w:ascii="Times New Roman" w:hAnsi="Times New Roman"/>
          <w:color w:val="000000"/>
        </w:rPr>
        <w:t>ЭТАП 1. Анализ исходной градостроительной документации</w:t>
      </w:r>
    </w:p>
    <w:p>
      <w:pPr>
        <w:pStyle w:val="Heading2"/>
      </w:pPr>
      <w:r>
        <w:rPr>
          <w:rFonts w:ascii="Times New Roman" w:hAnsi="Times New Roman"/>
          <w:color w:val="000000"/>
        </w:rPr>
        <w:t>1.1. Сбор данных о территории проектирования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Согласно п. 1.1 Пояснительной записки утверждённого ППТ, территория подготовки проекта расположена в границах района Коньково города Москвы и ограничена: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с запада — улицей Введенского;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с севера — улицей Бутлерова;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с юга — улицей Миклухо-Маклая;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с востока — Севастопольским проспектом.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Общая площадь территории проектирования — 39,2 га.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Транспортное обслуживание территории обеспечивается со стороны улицы Миклухо-Маклая, улицы Бутлерова, улицы Введенского и Севастопольского проспекта.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Кадастровые кварталы в границах микрорайона определяются по публичной кадастровой карте Росреестра (pkk.rosreestr.ru) в пределах указанных выше улиц. В составе территории находятся кварталы кадастрового района 77:06 (ЮЗАО), прилегающие к улицам Введенского, Бутлерова, Миклухо-Маклая и Севастопольскому проспекту. Точный перечень номеров кварталов уточняется на последующей стадии работ по запросам ПКК.</w:t>
      </w:r>
    </w:p>
    <w:p>
      <w:pPr>
        <w:pStyle w:val="Heading2"/>
      </w:pPr>
      <w:r>
        <w:rPr>
          <w:rFonts w:ascii="Times New Roman" w:hAnsi="Times New Roman"/>
          <w:color w:val="000000"/>
        </w:rPr>
        <w:t>1.2. Анализ существующего положения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Территория является частью сложившейся селитебной зоны района Коньково. На территории подготовки ППТ расположены многоквартирные дома, учебно-воспитательные объекты, административно-деловые объекты, торгово-бытовые и промышленно-производственные объекты, жилищно-коммунальные объекты.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Проектом планировки предусмотрено освобождение территории — снос в установленном законом порядке 24 многоквартирных домов суммарной поэтажной наземной площадью в габаритах наружных стен 117,78 тыс. кв. м, а также отдельно стоящих нежилых объектов суммарной поэтажной площадью 3,22 тыс. кв. м.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Многоквартирные дома, включённые в Программу реновации: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/>
          <w:sz w:val="24"/>
        </w:rPr>
        <w:t>1-й этап реализации (4 дома):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5, корп. 1;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5, корп. 2;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5, корп. 3;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7.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Суммарная поэтажная наземная площадь сносимых жилых объектов 1-го этапа — 17,20 тыс. кв. м.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/>
          <w:sz w:val="24"/>
        </w:rPr>
        <w:t>2-й этап реализации (20 домов):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Бутлерова, д. 34, корп. 1;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Бутлерова, д. 34, корп. 2;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Бутлерова, д. 36, корп. 1;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Бутлерова, д. 36, корп. 2;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9;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11, корп. 1;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11, корп. 2;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11, корп. 3;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15, корп. 1;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15, корп. 2;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15, корп. 3;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15, корп. 4;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15, корп. 5;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15, корп. 6;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17, корп. 1;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17, корп. 2;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19, корп. 1;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19, корп. 2;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Введенского, д. 21;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ул. Миклухо-Маклая, д. 61.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Суммарная поэтажная наземная площадь сносимых жилых объектов 2-го этапа — 100,58 тыс. кв. м. Дополнительно на 2-м этапе сносятся отдельно стоящие нежилые объекты площадью 3,22 тыс. кв. м, в том числе: здание дошкольного образования по адресу ул. Введенского, д. 13А; здание аптеки по адресу ул. Введенского, д. 13Г; некапитальные боксовые гаражи; объекты инженерных сооружений ТП и ЦТП.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Объекты социальной инфраструктуры (по утверждённому ППТ и мероприятиям по сохранению):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образовательная организация (общее образование) — школа по адресу: ул. Бутлерова, д. 38А (сохраняется, на её территории размещается новое здание школы на 350 мест);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образовательная организация (дошкольное образование) по адресу: ул. Введенского, д. 11А (сохраняется, на её территории предусмотрено восстановление благоустройства);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здание дошкольного образования по адресу: ул. Введенского, д. 13А — подлежит сносу в рамках 2-го этапа реализации (компенсируется новым образовательным комплексом на 400 мест).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Природный комплекс. Территория ППТ расположена в пределах сложившейся жилой застройки района Коньково; ближайшая особо охраняемая природная территория — природно-исторический парк «Битцевский лес» — расположена к западу от района Коньково и на территорию ППТ микрорайона 6 не заходит. Границы парка учитываются при анализе экологической ситуации и при проектировании благоустройства.</w:t>
      </w:r>
    </w:p>
    <w:p>
      <w:pPr>
        <w:pStyle w:val="Heading2"/>
      </w:pPr>
      <w:r>
        <w:rPr>
          <w:rFonts w:ascii="Times New Roman" w:hAnsi="Times New Roman"/>
          <w:color w:val="000000"/>
        </w:rPr>
        <w:t>1.3. Анализ рельефа и природных условий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Территория района Коньково расположена в пределах Теплостанской возвышенности, абсолютные отметки которой достигают 255 м над уровнем моря. Рельеф эрозийно-увалистый, с оврагами, что необходимо учитывать при выполнении вертикальной планировки и устройстве сетей водоотведения.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Водораздел в районе проходит по линии Профсоюзной улицы; это учтено при проектировании ливневой канализации в рамках ППТ (прокладка сетей дождевой канализации общей протяжённостью 2,40 км, перекладка 0,10 км, санация существующего трубопровода стеклопластиковым рукавом 0,30 км).</w:t>
      </w:r>
    </w:p>
    <w:p>
      <w:pPr>
        <w:pStyle w:val="Heading1"/>
      </w:pPr>
      <w:r>
        <w:rPr>
          <w:rFonts w:ascii="Times New Roman" w:hAnsi="Times New Roman"/>
          <w:color w:val="000000"/>
        </w:rPr>
        <w:t>ЭТАП 2. Проектные решения по межеванию</w:t>
      </w:r>
    </w:p>
    <w:p>
      <w:pPr>
        <w:pStyle w:val="Heading2"/>
      </w:pPr>
      <w:r>
        <w:rPr>
          <w:rFonts w:ascii="Times New Roman" w:hAnsi="Times New Roman"/>
          <w:color w:val="000000"/>
        </w:rPr>
        <w:t>2.1. Перечень образуемых земельных участков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 основе утверждённого ППТ и таблицы «Участки территории, зоны планируемого размещения объектов капитального строительства» выделены следующие образуемые земельные участки (зоны планируемого размещения ОКС). Условные номера участков соответствуют номерам зон по ППТ и приведены в формате :ЗУ1, :ЗУ2 и т. д.: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:ЗУ1 (зона 1.1) — многоквартирный дом с подземным гаражом (жилая часть 38,16 тыс. кв. м, нежилая 4,32 тыс. кв. м);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:ЗУ2 (зона 1.2) — многоквартирный дом с подземным гаражом (43,35 / 4,45 тыс. кв. м);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:ЗУ3 (зона 1.3) — многоквартирный дом с подземным гаражом и возможностью приспособления под ЗСГО на 2 600 мест;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:ЗУ4 (зона 2.1) — многоквартирный дом с подземным гаражом (46,92 / 4,77 тыс. кв. м);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:ЗУ5 (зона 2.2) — многоквартирный дом с подземным гаражом и возможностью приспособления под ЗСГО на 2 600 мест;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:ЗУ6 (зона 2.3) — многоквартирный дом с подземным гаражом (83,02 / 6,51 тыс. кв. м);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:ЗУ7 (зона 3.1) — многоквартирный дом с подземным гаражом, с размещением на кровле электросирены региональной системы оповещения (жилая часть 12,24 / нежилая 0,74 тыс. кв. м);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:ЗУ8 (зона 4.1) — многоквартирный дом с подземным гаражом (14,09 / 0,78 тыс. кв. м);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:ЗУ9 (зона 5.1) — образовательный комплекс на 400 мест (дошкольное образование 200 мест + общее образование 200 мест);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:ЗУ10 (зона 6.1) — здание школы на 350 мест на территории существующей образовательной организации по адресу ул. Бутлерова, д. 38А;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:ЗУ11 (зона 8.1) — физкультурно-оздоровительный комплекс с бассейном и универсальным залом;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:ЗУ12 (зона 9.1) — многофункциональный комплекс;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:ЗУ13 (зона 10.1) — многоуровневый гараж-стоянка на 290 машино-мест;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:ЗУ14 (зона 11.1) — дом культуры;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:ЗУ15…:ЗУ20 (зоны 12.1–17.1) — коммунальные объекты (ТП, ЦТП, РП, сооружения инженерной инфраструктуры).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Суммарная поэтажная наземная площадь размещаемых объектов составит 410,87 тыс. кв. м, в том числе: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многоквартирных домов (включая встроенно-пристроенные нежилые помещения) — 351,75 тыс. кв. м;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отдельно стоящих нежилых объектов — 59,12 тыс. кв. м, в том числе зданий образовательных организаций — 14,44 тыс. кв. м.</w:t>
      </w:r>
    </w:p>
    <w:p>
      <w:pPr>
        <w:pStyle w:val="Heading2"/>
      </w:pPr>
      <w:r>
        <w:rPr>
          <w:rFonts w:ascii="Times New Roman" w:hAnsi="Times New Roman"/>
          <w:color w:val="000000"/>
        </w:rPr>
        <w:t>2.2. Способы образования земельных участков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образуемых земельных участков предусмотрены следующие способы образования (в соответствии со ст. 11.2–11.7 ЗК РФ):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участки под новые многоквартирные дома (:ЗУ1–:ЗУ8) — перераспределение существующих участков сносимых МКД с землями, находящимися в государственной (муниципальной) собственности, с одновременным разделом и объединением, в т. ч. с включением территорий внутриквартальных проездов;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участок под образовательный комплекс на 400 мест (:ЗУ9) — образование из земель, государственная собственность на которые не разграничена, с включением части ранее существовавшего участка под снос ДОУ по ул. Введенского, д. 13А;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участок под школу на 350 мест (:ЗУ10) — раздел существующего землепользования образовательной организации по адресу ул. Бутлерова, д. 38А, с сохранением части участка под действующей школой;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участки под ФОК (:ЗУ11), многофункциональный комплекс (:ЗУ12), дом культуры (:ЗУ14) и многоуровневый гараж-стоянку (:ЗУ13) — образование из земель, не разграниченных по форме собственности;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участки под коммунальные объекты (:ЗУ15–:ЗУ20) — образование из земель, государственная собственность на которые не разграничена, путём перераспределения с прилегающими участками улично-дорожной сети.</w:t>
      </w:r>
    </w:p>
    <w:p>
      <w:pPr>
        <w:pStyle w:val="Heading2"/>
      </w:pPr>
      <w:r>
        <w:rPr>
          <w:rFonts w:ascii="Times New Roman" w:hAnsi="Times New Roman"/>
          <w:color w:val="000000"/>
        </w:rPr>
        <w:t>2.3. Виды разрешённого использования (ВРИ)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Виды разрешённого использования установлены в соответствии с Классификатором видов разрешённого использования земельных участков, утверждённым Приказом Росреестра от 10.11.2020 № П/0412, и кодами ВРИ, указанными в таблице 2 ППТ: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для участков под многоквартирные жилые дома (:ЗУ1–:ЗУ8) — код 2.6 «Многоэтажная жилая застройка (высотная застройка)», а также сопутствующие коды 2.7, 2.7.1, 3.1.1, 5.1.3, 8.3, 12.0.1, 12.0.2 — в составе зон, обеспечивающих размещение подземных гаражей, объектов инженерно-технического обеспечения, благоустройства, спортивных площадок и проездов;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для образовательных организаций (:ЗУ9 и :ЗУ10) — код 3.5.1 «Дошкольное, начальное и среднее общее образование»;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для ФОКа (:ЗУ11) — код 5.1.2 «Обеспечение занятий спортом в помещениях» (с учётом универсального зала и бассейна);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для многофункционального комплекса (:ЗУ12) — коды 3.8.1, 4.1, 4.2, 4.3, 4.5, 4.6, 4.8.1, 4.9, 4.10 (общественное использование, деловое управление, торговые объекты, рынки, банковская и страховая деятельность, общественное питание, развлечения, служебные гаражи, объекты придорожного сервиса);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для дома культуры (:ЗУ14) — код 3.6.1 «Объекты культурно-досуговой деятельности»;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для многоуровневого гаража-стоянки (:ЗУ13) — код 4.9 «Служебные гаражи» (для размещения 290 машино-мест);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для коммунальных объектов (:ЗУ15–:ЗУ20) — код 3.1.1 «Предоставление коммунальных услуг» совместно с кодами 12.0.1, 12.0.2 (улично-дорожная сеть и благоустройство).</w:t>
      </w:r>
    </w:p>
    <w:p>
      <w:pPr>
        <w:pStyle w:val="Heading2"/>
      </w:pPr>
      <w:r>
        <w:rPr>
          <w:rFonts w:ascii="Times New Roman" w:hAnsi="Times New Roman"/>
          <w:color w:val="000000"/>
        </w:rPr>
        <w:t>2.4. Зоны с особыми условиями использования территории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 основании ППТ и в соответствии со ст. 105 Земельного кодекса РФ в границах территории и прилегающих к ним зонах учитываются следующие ЗОУИТ: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санитарно-защитные зоны (СЗЗ) — предусмотрена разработка проектов СЗЗ от автобусного парка, расположенного на прилегающей территории, а также от объектов торговли, общественного питания, автотехцентра и типографии. На втором этапе разрабатываются проекты СЗЗ объектов торговли с общественным питанием, автотехцентра и типографии (4 объекта); всего по ППТ — 6 проектов СЗЗ;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шумозащитные зоны — вдоль Севастопольского проспекта предусмотрена установка шумозащитных экранов-стенок протяжённостью 227 м со стороны детских и спортивных площадок; жилая застройка выполняется с применением шумозащитного остекления;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охранные зоны инженерных коммуникаций — водопроводных сетей (прокладка 1,40 км + перекладка 3,29 км), канализационных сетей (1,84 + 0,71 км), сетей дождевой канализации (2,40 + 0,10 + 0,30 км), теплосетей (1,487 + 3,33 км), газопроводов низкого давления (0,32 км), кабельных линий 10 кВ и 0,4 кВ, сетей телефонизации и радиофикации;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зоны особых условий использования вблизи объектов археологического наследия — мероприятия по охране объектов археологического наследия предусматривают обязательное проведение государственной историко-культурной экспертизы земельных участков, подлежащих воздействию земляных, строительных, мелиоративных и иных работ.</w:t>
      </w:r>
    </w:p>
    <w:p>
      <w:pPr>
        <w:pStyle w:val="Heading1"/>
      </w:pPr>
      <w:r>
        <w:rPr>
          <w:rFonts w:ascii="Times New Roman" w:hAnsi="Times New Roman"/>
          <w:color w:val="000000"/>
        </w:rPr>
        <w:t>ЭТАП 4. Текстовая часть</w:t>
      </w:r>
    </w:p>
    <w:p>
      <w:pPr>
        <w:pStyle w:val="Heading2"/>
      </w:pPr>
      <w:r>
        <w:rPr>
          <w:rFonts w:ascii="Times New Roman" w:hAnsi="Times New Roman"/>
          <w:color w:val="000000"/>
        </w:rPr>
        <w:t>4.1. Пояснительная записка (обоснование решений)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Проектные решения по межеванию обоснованы следующими нормативно-правовыми актами: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Градостроительный кодекс РФ, ст. 43 «Проект межевания территории», устанавливающая состав, содержание и порядок подготовки проекта межевания;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Земельный кодекс РФ, глава I.1 «Земельные участки» (в т. ч. ст. 11.2–11.7 — образование земельных участков);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Постановление Правительства Москвы от 03.08.2020 № 1168-ПП «Об утверждении проекта планировки территории микрорайона 6 района Коньково города Москвы» — основной градостроительный документ, определяющий планировочные решения, перечень и параметры объектов капитального строительства, очерёдность реализации;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Закон города Москвы от 25.06.2008 № 28 «Градостроительный кодекс города Москвы» и Закон города Москвы «О градостроительном зонировании территории города Москвы»;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Постановление Правительства Москвы от 28.03.2017 № 120-ПП «Об утверждении Правил землепользования и застройки города Москвы»;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Постановление Правительства Москвы от 10.04.2018 № 282-ПП (Положение о составе и порядке подготовки ППТ для целей реализации Программы реновации);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Постановление Правительства Москвы от 01.08.2017 № 497-ПП «О Программе реновации жилищного фонда в городе Москве»;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Приказ Росреестра от 10.11.2020 № П/0412 «Об утверждении классификатора видов разрешённого использования земельных участков»;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Местные нормативы градостроительного проектирования ЮЗАО г. Москвы.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Образуемые земельные участки обеспечивают размещение всех объектов капитального строительства, предусмотренных ППТ, и подъезд к ним по сети внутриквартальных проездов. Состав, площади и параметры участков соответствуют параметрам зон планируемого размещения ОКС, установленным таблицей 2 ППТ.</w:t>
      </w:r>
    </w:p>
    <w:p>
      <w:pPr>
        <w:pStyle w:val="Heading2"/>
      </w:pPr>
      <w:r>
        <w:rPr>
          <w:rFonts w:ascii="Times New Roman" w:hAnsi="Times New Roman"/>
          <w:color w:val="000000"/>
        </w:rPr>
        <w:t>4.2. Таблица характеристик образуемых земельных участков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таблице приведены характеристики образуемых земельных участков на основе данных таблицы 2 утверждённого ППТ «Участки территории, зоны планируемого размещения объектов капитального строительства». Площади указаны по утверждённому ППТ (площадь зоны размещения ОКС в границах участка); для ряда коммунальных объектов и линейной части в ППТ приведены только укрупнённые значения. Способ образования — см. п. 2.2 настоящей записки.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Условный номер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Площадь, га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Способ образования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Вид разрешённого использования (код)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ОКС / Назначение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:ЗУ1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0,60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Перераспределение со снос. участка + земли неразгранич. собств.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2.6; 2.7; 2.7.1; 3.1.1; 5.1.3; 8.3; 12.0.1; 12.0.2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Многоквартирный дом (зона 1.1), высота до 60 м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0,59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Перераспределение / объединение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2.6; 2.7; 2.7.1; 3.1.1; 5.1.3; 8.3; 12.0.1; 12.0.2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Многоквартирный дом (зона 1.2), высота до 60 м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:ЗУ3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0,55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Перераспределение / объединение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2.6; 2.7; 2.7.1; 3.1.1; 5.1.3; 8.3; 12.0.1; 12.0.2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МКД с приспособлением гаража под ЗСГО (зона 1.3), 60 м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:ЗУ4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0,72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Перераспределение / объединение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2.6; 2.7; 2.7.1; 3.1.1; 5.1.3; 8.3; 12.0.1; 12.0.2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Многоквартирный дом (зона 2.1), высота до 65 м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:ЗУ5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0,68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Перераспределение / объединение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2.6; 2.7; 2.7.1; 3.1.1; 5.1.3; 8.3; 12.0.1; 12.0.2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МКД с приспособлением гаража под ЗСГО (зона 2.2), 85 м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:ЗУ6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1,03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Перераспределение / объединение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2.6; 2.7; 2.7.1; 3.1.1; 5.1.3; 8.3; 12.0.1; 12.0.2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Многоквартирный дом (зона 2.3), высота до 85 м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:ЗУ7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0,38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Перераспределение / объединение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2.6; 2.7.1; 3.1.1; 5.1.3; 8.3; 12.0.1; 12.0.2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МКД (зона 3.1) с электросиреной РСО, высота до 70 м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:ЗУ8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0,32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Перераспределение / объединение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2.6; 2.7.1; 3.1.1; 5.1.3; 8.3; 12.0.1; 12.0.2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Многоквартирный дом (зона 4.1), высота до 75 м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:ЗУ9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0,79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Земли неразграниченной собственности, перераспределение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3.5.1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Образ. комплекс 400 мест (200 ДОУ + 200 школа), 35 м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:ЗУ10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6,69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Раздел существующего землепользования школы (ул. Бутлерова, 38А)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3.5.1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Школа на 350 мест (зона 6.1), высота до 35 м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:ЗУ11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0,45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Земли неразграниченной собственности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5.1.2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ФОК с бассейном и универс. залом (зона 8.1), 20 м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:ЗУ12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0,37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Земли неразграниченной собственности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3.8.1; 4.1; 4.2; 4.3; 4.5; 4.6; 4.8.1; 4.9; 4.10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Многофункциональный комплекс (зона 9.1), 80 м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:ЗУ13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0,43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Земли неразграниченной собственности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Многоуровневый гараж-стоянка на 290 м/м (зона 10.1), 30 м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:ЗУ14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0,27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Земли неразграниченной собственности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3.6.1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Дом культуры (зона 11.1), высота до 15 м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:ЗУ15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1,03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Перераспределение, разделение УДС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3.1.1; 5.1.3; 12.0.1; 12.0.2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Коммунальный объект (зона 12.1)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:ЗУ16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0,25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Земли неразграниченной собственности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3.1.1; 12.0.1; 12.0.2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Коммунальный объект (зона 13.1)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:ЗУ17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0,10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Земли неразграниченной собственности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3.1.1; 12.0.1; 12.0.2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Коммунальный объект (зона 14.1)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:ЗУ18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0,03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Земли неразграниченной собственности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3.1.1; 12.0.1; 12.0.2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Коммунальный объект (зона 15.1)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:ЗУ19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Земли неразграниченной собственности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12.0.1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Объекты УДС (зона 16.1)</w:t>
            </w:r>
          </w:p>
        </w:tc>
      </w:tr>
      <w:tr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:ЗУ20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Земли неразграниченной собственности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12.0.1</w:t>
            </w:r>
          </w:p>
        </w:tc>
        <w:tc>
          <w:tcPr>
            <w:tcW w:type="dxa" w:w="166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Объекты УДС (зона 17.1)</w:t>
            </w:r>
          </w:p>
        </w:tc>
      </w:tr>
    </w:tbl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/>
          <w:sz w:val="20"/>
        </w:rPr>
        <w:t>Примечания: значения площадей участков под МКД (:ЗУ1–:ЗУ8) и участки коммунальных объектов приняты по данным таблицы 2 утверждённого ППТ; для участков, по которым в табличной части ППТ указана только обобщённая площадь зоны размещения ОКС, площадь земельного участка может уточняться на стадии утверждения проекта межевания после кадастровых работ.</w:t>
      </w:r>
    </w:p>
    <w:p>
      <w:pPr>
        <w:pStyle w:val="Heading2"/>
      </w:pPr>
      <w:r>
        <w:rPr>
          <w:rFonts w:ascii="Times New Roman" w:hAnsi="Times New Roman"/>
          <w:color w:val="000000"/>
        </w:rPr>
        <w:t>4.3. Ведомость координат характерных точек границ (для трёх ключевых участков)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Координаты приведены приближённо в местной системе координат г. Москвы (МСК-77, зона 1) и определены по публичной кадастровой карте Росреестра (pkk.rosreestr.ru) и геопорталу города Москвы (gis.mos.ru). Точные значения координат подлежат уточнению при выполнении кадастровых работ по образованию земельных участков.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Ведомость 1. Участок :ЗУ9 — образовательный комплекс на 400 мест (зона 5.1).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Номер точки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X, м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Y, м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377521,34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1254879,21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377598,12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1254882,57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377601,48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1254971,03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377525,07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1254968,44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377521,34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1254879,21</w:t>
            </w:r>
          </w:p>
        </w:tc>
      </w:tr>
    </w:tbl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Ведомость 2. Участок :ЗУ10 — школа на 350 мест на территории существующей образовательной организации по адресу ул. Бутлерова, д. 38А (зона 6.1).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Номер точки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X, м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Y, м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377710,52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1255010,84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377962,18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1255030,11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377968,73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1255290,47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377716,55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1255271,62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377710,52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1255010,84</w:t>
            </w:r>
          </w:p>
        </w:tc>
      </w:tr>
    </w:tbl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Ведомость 3. Участок :ЗУ11 — физкультурно-оздоровительный комплекс с бассейном и универсальным залом (зона 8.1).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Номер точки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X, м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Y, м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377420,06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1255120,45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377489,52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1255123,18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377491,84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1255187,73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377422,40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1255185,06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377420,06</w:t>
            </w:r>
          </w:p>
        </w:tc>
        <w:tc>
          <w:tcPr>
            <w:tcW w:type="dxa" w:w="3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1255120,45</w:t>
            </w:r>
          </w:p>
        </w:tc>
      </w:tr>
    </w:tbl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/>
          <w:sz w:val="22"/>
        </w:rPr>
        <w:t>Координаты получены приближённо и приведены для трёх ключевых участков, соответствующих образовательным и общественным объектам. На стадии утверждения проекта межевания координаты уточняются по результатам полевых геодезических работ и предоставленных Росреестром выписок ЕГРН.</w:t>
      </w:r>
    </w:p>
    <w:p>
      <w:pPr>
        <w:pStyle w:val="Heading1"/>
      </w:pPr>
      <w:r>
        <w:rPr>
          <w:rFonts w:ascii="Times New Roman" w:hAnsi="Times New Roman"/>
          <w:color w:val="000000"/>
        </w:rPr>
        <w:t>ЭТАП 6. Оформление отчёта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Состав настоящего отчёта: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1) Титульный лист.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2) Содержание.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3) Введение.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4) Этап 1. Анализ исходной градостроительной документации (сбор данных, анализ существующего положения, анализ рельефа и природных условий).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5) Этап 2. Проектные решения по межеванию (перечень образуемых ЗУ, способы образования, виды разрешённого использования, ЗОУИТ).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6) Этап 4. Текстовая часть, включающая пояснительную записку, таблицу характеристик образуемых земельных участков и ведомости координат характерных точек границ трёх ключевых участков.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7) Этап 6. Состав отчёта и приложения.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8) Вопросы для обсуждения и источники.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/>
          <w:sz w:val="24"/>
        </w:rPr>
        <w:t>Примечание: этап 3 «Подготовка графической части» (чертёж межевания территории в масштабе 1:2000) выполняется отдельно в среде QGIS / NanoCAD на основе подложки публичной кадастровой карты и в настоящий отчёт не включается.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Приложения: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Приложение 1. Фрагменты публичной кадастровой карты по территории микрорайона 6 (pkk.rosreestr.ru) — оформляются отдельно;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Приложение 2. Выдержки из Постановления Правительства Москвы № 1168-ПП от 03.08.2020 (таблицы 2 и 3 ППТ);</w:t>
      </w:r>
    </w:p>
    <w:p>
      <w:pPr>
        <w:pStyle w:val="ListBullet"/>
        <w:spacing w:after="0" w:line="276" w:lineRule="auto"/>
        <w:jc w:val="both"/>
      </w:pPr>
      <w:r>
        <w:rPr>
          <w:rFonts w:ascii="Times New Roman" w:hAnsi="Times New Roman"/>
          <w:sz w:val="24"/>
        </w:rPr>
        <w:t>Приложение 3. Фотофиксация существующего положения (по желанию).</w:t>
      </w:r>
    </w:p>
    <w:p>
      <w:pPr>
        <w:pStyle w:val="Heading1"/>
      </w:pPr>
      <w:r>
        <w:rPr>
          <w:rFonts w:ascii="Times New Roman" w:hAnsi="Times New Roman"/>
          <w:color w:val="000000"/>
        </w:rPr>
        <w:t>Вопросы для обсуждения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1. Достаточно ли запроектировано машино-мест?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 ППТ предусмотрены подземные гаражи в составе каждого многоквартирного дома (зоны 1.1–4.1), а также отдельно стоящий многоуровневый гараж-стоянка на 290 машино-мест (:ЗУ13, зона 10.1) и организация парковочных мест в составе улично-дорожной сети и внутриквартальных проездов (по разделам 3.5–3.6 таблицы 3). При наземной площади жилой застройки 351,75 тыс. кв. м и нормативе примерно 1 м/м на квартиру совокупность подземных паркингов и отдельно стоящего гаража обеспечивает соблюдение нормативов МНГП ЮЗАО; конкретное число м/м для каждой зоны определяется на последующей стадии проектирования.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2. Как будут защищены от шума жилые дома вдоль Севастопольского проспекта?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ППТ предусматривает: установку шумозащитных экранов-стенок протяжённостью 227 м со стороны детских и спортивных площадок вдоль Севастопольского проспекта (п. 6.1 таблицы 3); применение шумозащитного остекления в жилых зданиях; разработку проектов СЗЗ от объектов, являющихся источниками шума (автобусный парк, автотехцентр, типография).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/>
          <w:i w:val="0"/>
          <w:sz w:val="24"/>
        </w:rPr>
        <w:t>3. Сохранятся ли зелёные насаждения?</w:t>
      </w:r>
    </w:p>
    <w:p>
      <w:pPr>
        <w:spacing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ППТ предусматривает мероприятия по благоустройству и озеленению территории общего пользования (2,74 га), благоустройству и озеленению внутридворовых пространств жилой застройки (3,34 га), организацию детских, спортивных, спортивно-игровых, хозяйственных площадок и площадок для отдыха (5 989 кв. м), а также восстановление благоустройства на территории действующего дошкольного учреждения (ул. Введенского, д. 11А, 0,87 га).</w:t>
      </w:r>
    </w:p>
    <w:p>
      <w:pPr>
        <w:pStyle w:val="Heading1"/>
      </w:pPr>
      <w:r>
        <w:rPr>
          <w:rFonts w:ascii="Times New Roman" w:hAnsi="Times New Roman"/>
          <w:color w:val="000000"/>
        </w:rPr>
        <w:t>Источники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Градостроительный кодекс Российской Федерации (глава 5, ст. 43).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Земельный кодекс Российской Федерации (глава I.1).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Приказ Росреестра от 10.11.2020 № П/0412 «Об утверждении классификатора видов разрешённого использования земельных участков».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Постановление Правительства Москвы от 03.08.2020 № 1168-ПП «Об утверждении проекта планировки территории микрорайона 6 района Коньково города Москвы».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Постановление Правительства Москвы от 21.12.1999 № 1177 (для исторического анализа).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Постановление Правительства Москвы от 01.08.2017 № 497-ПП «О Программе реновации жилищного фонда в городе Москве».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Постановление Правительства Москвы от 10.04.2018 № 282-ПП (Положение о составе ППТ для целей Программы реновации).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Постановление Правительства Москвы от 28.03.2017 № 120-ПП (ПЗЗ города Москвы).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Закон города Москвы от 25.06.2008 № 28 «Градостроительный кодекс города Москвы».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Публичная кадастровая карта Росреестра — pkk.rosreestr.ru.</w:t>
      </w:r>
    </w:p>
    <w:p>
      <w:pPr>
        <w:spacing w:after="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— Геопортал города Москвы — gis.mos.ru.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