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before="0" w:after="200" w:line="360" w:lineRule="auto"/>
      </w:pPr>
      <w:r>
        <w:rPr>
          <w:rFonts w:ascii="Times New Roman" w:hAnsi="Times New Roman"/>
          <w:b/>
          <w:sz w:val="28"/>
          <w:rFonts w:eastAsia="Times New Roman"/>
        </w:rPr>
        <w:t>СОДЕРЖАНИЕ</w:t>
      </w:r>
    </w:p>
    <w:p>
      <w:pPr>
        <w:jc w:val="left"/>
        <w:spacing w:before="0" w:after="0" w:line="360" w:lineRule="auto"/>
      </w:pPr>
      <w:r>
        <w:rPr>
          <w:rFonts w:ascii="Times New Roman" w:hAnsi="Times New Roman"/>
          <w:sz w:val="28"/>
        </w:rPr>
        <w:t>ВВЕДЕНИЕ……………………………………………………………..…...…….3</w:t>
      </w:r>
    </w:p>
    <w:p>
      <w:pPr>
        <w:jc w:val="left"/>
        <w:spacing w:before="0" w:after="0" w:line="360" w:lineRule="auto"/>
      </w:pPr>
      <w:r>
        <w:rPr>
          <w:rFonts w:ascii="Times New Roman" w:hAnsi="Times New Roman"/>
          <w:sz w:val="28"/>
        </w:rPr>
        <w:t>ОСНОВНАЯ ЧАСТЬ …………………………………………………................5</w:t>
      </w:r>
    </w:p>
    <w:p>
      <w:pPr>
        <w:jc w:val="left"/>
        <w:spacing w:before="0" w:after="0" w:line="360" w:lineRule="auto"/>
      </w:pPr>
      <w:r>
        <w:rPr>
          <w:rFonts w:ascii="Times New Roman" w:hAnsi="Times New Roman"/>
          <w:sz w:val="28"/>
        </w:rPr>
        <w:t>ЗАКЛЮЧЕНИЕ………………………………………………………...…….…..10</w:t>
      </w:r>
    </w:p>
    <w:p>
      <w:pPr>
        <w:jc w:val="left"/>
        <w:spacing w:before="0" w:after="0" w:line="360" w:lineRule="auto"/>
      </w:pPr>
      <w:r>
        <w:rPr>
          <w:rFonts w:ascii="Times New Roman" w:hAnsi="Times New Roman"/>
          <w:sz w:val="28"/>
        </w:rPr>
        <w:t>СПИСОК ИСПОЛЬЗОВАННЫХ ИСТОЧНИКОВ………………………..…..11</w:t>
      </w:r>
    </w:p>
    <w:p>
      <w:pPr>
        <w:jc w:val="left"/>
        <w:spacing w:before="0" w:after="0" w:line="360" w:lineRule="auto"/>
      </w:pPr>
      <w:r>
        <w:rPr>
          <w:rFonts w:ascii="Times New Roman" w:hAnsi="Times New Roman"/>
          <w:sz w:val="28"/>
        </w:rPr>
        <w:t>ПРИЛОЖЕНИЯ…………………………………………………………………..12</w:t>
      </w:r>
    </w:p>
    <w:p>
      <w:pPr>
        <w:jc w:val="left"/>
        <w:spacing w:before="0" w:after="0" w:line="360" w:lineRule="auto"/>
      </w:pPr>
      <w:r>
        <w:rPr>
          <w:rFonts w:ascii="Times New Roman" w:hAnsi="Times New Roman"/>
          <w:sz w:val="28"/>
        </w:rPr>
        <w:t>Приложение 1: Нормативно-правовые акты, регулирующие деятельность</w:t>
        <w:br/>
        <w:t>организации……………………………………....12</w:t>
      </w:r>
    </w:p>
    <w:p>
      <w:pPr>
        <w:jc w:val="left"/>
        <w:spacing w:before="0" w:after="0" w:line="360" w:lineRule="auto"/>
      </w:pPr>
      <w:r>
        <w:rPr>
          <w:rFonts w:ascii="Times New Roman" w:hAnsi="Times New Roman"/>
          <w:sz w:val="28"/>
        </w:rPr>
        <w:t>Приложение 2: Организационная структура ООО «Купишуз»…….13</w:t>
      </w:r>
    </w:p>
    <w:p>
      <w:pPr>
        <w:jc w:val="left"/>
        <w:spacing w:before="0" w:after="0" w:line="360" w:lineRule="auto"/>
      </w:pPr>
      <w:r>
        <w:rPr>
          <w:rFonts w:ascii="Times New Roman" w:hAnsi="Times New Roman"/>
          <w:sz w:val="28"/>
        </w:rPr>
        <w:t>Приложение 3: План помещений…………………………………………..14</w:t>
      </w:r>
    </w:p>
    <w:p>
      <w:pPr>
        <w:jc w:val="left"/>
        <w:spacing w:before="0" w:after="0" w:line="360" w:lineRule="auto"/>
      </w:pPr>
      <w:r>
        <w:rPr>
          <w:rFonts w:ascii="Times New Roman" w:hAnsi="Times New Roman"/>
          <w:sz w:val="28"/>
        </w:rPr>
        <w:t>Приложение 4: Основные показатели финансово-хозяйственной</w:t>
        <w:br/>
        <w:t>деятельности организации за 2025–2026 гг. ……………………15</w:t>
      </w:r>
    </w:p>
    <w:p>
      <w:pPr>
        <w:jc w:val="left"/>
        <w:spacing w:before="0" w:after="0" w:line="360" w:lineRule="auto"/>
      </w:pPr>
      <w:r>
        <w:rPr>
          <w:rFonts w:ascii="Times New Roman" w:hAnsi="Times New Roman"/>
          <w:sz w:val="28"/>
        </w:rPr>
        <w:t>Приложение 5: Динамика выручки, чистой прибыли и структура затрат</w:t>
        <w:br/>
        <w:t>организации за 2025–2026 гг. ………………………16</w:t>
      </w:r>
    </w:p>
    <w:p>
      <w:r>
        <w:br w:type="page"/>
      </w:r>
    </w:p>
    <w:p>
      <w:pPr>
        <w:jc w:val="center"/>
        <w:spacing w:before="0" w:after="200" w:line="360" w:lineRule="auto"/>
      </w:pPr>
      <w:r>
        <w:rPr>
          <w:rFonts w:ascii="Times New Roman" w:hAnsi="Times New Roman"/>
          <w:b/>
          <w:sz w:val="28"/>
          <w:rFonts w:eastAsia="Times New Roman"/>
        </w:rPr>
        <w:t>ВВЕДЕНИЕ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Я, Кольцов Дмитрий Михайлович, студент группы 02Кмо8381, проходил производственную практику (по профилю специальности) в период с « 30 » марта 2026 г. по « 11 » апреля 2026 г. в ООО «Купишуз», находится по адресу: г. Москва, Дербеневская набережная, д. 7, стр. 22.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Основной целью прохождения производственной практики (по профилю специальности) было освоение видов профессиональной деятельности, систематизация, обобщение, закрепление и углубление знаний и умений, формирование общих и профессиональных компетенций, приобретение практического опыта в рамках профессиональных модулей.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Задачами производственной практики (по профилю специальности) были:</w:t>
      </w:r>
    </w:p>
    <w:p>
      <w:pPr>
        <w:ind w:left="709"/>
        <w:jc w:val="both"/>
        <w:spacing w:before="0" w:after="0" w:line="360" w:lineRule="auto"/>
      </w:pPr>
      <w:r>
        <w:rPr>
          <w:rFonts w:ascii="Times New Roman" w:hAnsi="Times New Roman"/>
          <w:sz w:val="28"/>
        </w:rPr>
        <w:t>− Организация и управление торгово-сбытовой деятельностью;</w:t>
      </w:r>
    </w:p>
    <w:p>
      <w:pPr>
        <w:ind w:left="709"/>
        <w:jc w:val="both"/>
        <w:spacing w:before="0" w:after="0" w:line="360" w:lineRule="auto"/>
      </w:pPr>
      <w:r>
        <w:rPr>
          <w:rFonts w:ascii="Times New Roman" w:hAnsi="Times New Roman"/>
          <w:sz w:val="28"/>
        </w:rPr>
        <w:t>− Организация и проведение экономической и маркетинговой деятельности;</w:t>
      </w:r>
    </w:p>
    <w:p>
      <w:pPr>
        <w:ind w:left="709"/>
        <w:jc w:val="both"/>
        <w:spacing w:before="0" w:after="0" w:line="360" w:lineRule="auto"/>
      </w:pPr>
      <w:r>
        <w:rPr>
          <w:rFonts w:ascii="Times New Roman" w:hAnsi="Times New Roman"/>
          <w:sz w:val="28"/>
        </w:rPr>
        <w:t>− Управление ассортиментом, оценка качества и обеспечение сохраняемости товаров;</w:t>
      </w:r>
    </w:p>
    <w:p>
      <w:pPr>
        <w:ind w:left="709"/>
        <w:jc w:val="both"/>
        <w:spacing w:before="0" w:after="0" w:line="360" w:lineRule="auto"/>
      </w:pPr>
      <w:r>
        <w:rPr>
          <w:rFonts w:ascii="Times New Roman" w:hAnsi="Times New Roman"/>
          <w:sz w:val="28"/>
        </w:rPr>
        <w:t>− Выполнение работ по одной или нескольким профессиям рабочих, должностям служащих.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Объект производственной практики (по профилю специальности): ООО «Купишуз» (ИНН 7705935687) — российская компания, развивающая один из крупнейших отечественных интернет-магазинов модной одежды, обуви, аксессуаров, товаров для дома, спорта и красоты (бренд Lamoda). Организация осуществляет розничную торговлю дистанционным способом и сопутствующие услуги по доставке, примерке и возврату товаров.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Общество с ограниченной ответственностью «Купишуз» зарегистрировано в 2010 году. Организация осуществляет деятельность в соответствии с основным кодом ОКВЭД 47.91.2 — «Торговля розничная, осуществляемая непосредственно при помощи информационно-коммуникационной сети Интернет».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Нормативно-правовые акты, регулирующие деятельность ООО, можно посмотреть в Приложении 1. С организационной структурой предприятия можно ознакомиться в Приложении 2.</w:t>
      </w:r>
    </w:p>
    <w:p>
      <w:r>
        <w:br w:type="page"/>
      </w:r>
    </w:p>
    <w:p>
      <w:pPr>
        <w:jc w:val="center"/>
        <w:spacing w:before="0" w:after="200" w:line="360" w:lineRule="auto"/>
      </w:pPr>
      <w:r>
        <w:rPr>
          <w:rFonts w:ascii="Times New Roman" w:hAnsi="Times New Roman"/>
          <w:b/>
          <w:sz w:val="28"/>
          <w:rFonts w:eastAsia="Times New Roman"/>
        </w:rPr>
        <w:t>ОСНОВНАЯ ЧАСТЬ</w:t>
      </w:r>
    </w:p>
    <w:p>
      <w:pPr>
        <w:ind w:firstLine="709"/>
        <w:jc w:val="both"/>
        <w:spacing w:before="100" w:after="0" w:line="360" w:lineRule="auto"/>
      </w:pPr>
      <w:r>
        <w:rPr>
          <w:rFonts w:ascii="Times New Roman" w:hAnsi="Times New Roman"/>
          <w:b/>
          <w:sz w:val="28"/>
          <w:rFonts w:eastAsia="Times New Roman"/>
        </w:rPr>
        <w:t>1. 30.03.2026 — Инструктаж по технике безопасности и ознакомление с предприятием.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Первый день производственной практики начался с прохождения инструктажа по технике безопасности, охране труда, пожарной безопасности и правилам внутреннего трудового распорядка организации.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После инструктажа я ознакомился с общими сведениями и организационной структурой предприятия. ООО «Купишуз» — крупное предприятие в сфере интернет-торговли, развивающее платформу Lamoda. Организационная структура — линейно-функциональная, с блоками: коммерция, маркетинг, логистика, IT, финансы, клиентский сервис, HR. С организационной структурой можно ознакомиться в Приложении 2.</w:t>
      </w:r>
    </w:p>
    <w:p>
      <w:pPr>
        <w:ind w:firstLine="709"/>
        <w:jc w:val="both"/>
        <w:spacing w:before="100" w:after="0" w:line="360" w:lineRule="auto"/>
      </w:pPr>
      <w:r>
        <w:rPr>
          <w:rFonts w:ascii="Times New Roman" w:hAnsi="Times New Roman"/>
          <w:b/>
          <w:sz w:val="28"/>
          <w:rFonts w:eastAsia="Times New Roman"/>
        </w:rPr>
        <w:t>2. 31.03.2026 — Ознакомление с системой взаимодействия предприятия с поставщиками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Второй день практики был посвящён изучению системы взаимодействия организации с поставщиками. Ключевыми поставщиками являются производители и дистрибьюторы одежды, обуви, аксессуаров, косметики, товаров для спорта и дома.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Система взаимодействия построена на категорийном принципе: за каждой товарной категорией закреплён закупщик. Основные принципы выбора поставщиков: качество и соответствие требованиям, надёжность, ценовая конкурентоспособность, сроки поставки, гибкость сотрудничества, соответствие требованиям сертификации и маркировки.</w:t>
      </w:r>
    </w:p>
    <w:p>
      <w:pPr>
        <w:ind w:firstLine="709"/>
        <w:jc w:val="both"/>
        <w:spacing w:before="100" w:after="0" w:line="360" w:lineRule="auto"/>
      </w:pPr>
      <w:r>
        <w:rPr>
          <w:rFonts w:ascii="Times New Roman" w:hAnsi="Times New Roman"/>
          <w:b/>
          <w:sz w:val="28"/>
          <w:rFonts w:eastAsia="Times New Roman"/>
        </w:rPr>
        <w:t>3. 01.04.2026 — Описание торговых и офисных помещений предприятия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Третий день практики был посвящён ознакомлению с помещениями организации. Головной офис расположен в г. Москве, компания эксплуатирует фулфилмент-центр в Московской области и сеть пунктов выдачи заказов.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Помещения разделены на зоны: офисная зона (рабочие места, переговорные), складская (фулфилмент-) зона (приёмка, хранение, комплектация, отгрузка заказов), клиентская зона (шоурум и пункты выдачи). С планом помещений можно ознакомиться в Приложении 3.</w:t>
      </w:r>
    </w:p>
    <w:p>
      <w:pPr>
        <w:ind w:firstLine="709"/>
        <w:jc w:val="both"/>
        <w:spacing w:before="100" w:after="0" w:line="360" w:lineRule="auto"/>
      </w:pPr>
      <w:r>
        <w:rPr>
          <w:rFonts w:ascii="Times New Roman" w:hAnsi="Times New Roman"/>
          <w:b/>
          <w:sz w:val="28"/>
          <w:rFonts w:eastAsia="Times New Roman"/>
        </w:rPr>
        <w:t>4. 02.04.2026 — Оформление финансовых документов и отчётов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Четвёртый день практики был посвящён оформлению финансовых документов и ознакомлению с порядком учёта товарно-материальных ценностей. В организации применяется автоматизированный учёт ТМЦ, интегрированный с WMS фулфилмент-центра.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Были рассмотрены приходные документы (ТОРГ-12, УПД), расходные документы, приёмосдаточные акты, акты на списание товаров, документы по уценке. Я принимал участие в оформлении нескольких приходных и расходных документов.</w:t>
      </w:r>
    </w:p>
    <w:p>
      <w:pPr>
        <w:ind w:firstLine="709"/>
        <w:jc w:val="both"/>
        <w:spacing w:before="100" w:after="0" w:line="360" w:lineRule="auto"/>
      </w:pPr>
      <w:r>
        <w:rPr>
          <w:rFonts w:ascii="Times New Roman" w:hAnsi="Times New Roman"/>
          <w:b/>
          <w:sz w:val="28"/>
          <w:rFonts w:eastAsia="Times New Roman"/>
        </w:rPr>
        <w:t>5. 03.04.2026 — Проведение денежных расчётов с покупателями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Пятый день практики был посвящён изучению порядка проведения денежных расчётов. Преобладающей формой оплаты является безналичный расчёт: банковские карты, СБП, электронные кошельки. В пунктах выдачи также применяется оплата наличными и картой через POS-терминал.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Я ознакомился с правилами работы с наличными: проверкой подлинности банкнот, пересчётом купюр, оформлением выручки за смену, заполнением ПКО и РКО, ведением кассовой книги. Принял участие в подсчёте и оформлении наличных поступлений.</w:t>
      </w:r>
    </w:p>
    <w:p>
      <w:pPr>
        <w:ind w:firstLine="709"/>
        <w:jc w:val="both"/>
        <w:spacing w:before="100" w:after="0" w:line="360" w:lineRule="auto"/>
      </w:pPr>
      <w:r>
        <w:rPr>
          <w:rFonts w:ascii="Times New Roman" w:hAnsi="Times New Roman"/>
          <w:b/>
          <w:sz w:val="28"/>
          <w:rFonts w:eastAsia="Times New Roman"/>
        </w:rPr>
        <w:t>6. 06.04.2026 – 08.04.2026 — Расчёт основных налогов и анализ показателей ФХД организации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Организация применяет ОСНО. Были изучены и рассчитаны: НДС (20 %), налог на прибыль (20 %), страховые взносы, налог на имущество и транспортный налог.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Анализ показателей ФХД за 2025–2026 гг. выявил устойчивый рост: выручка выросла на 26,2 %, чистая прибыль — на 33,8 %, рентабельность продаж составила 14,9 %. Подробные данные представлены в Приложении 4.</w:t>
      </w:r>
    </w:p>
    <w:p>
      <w:pPr>
        <w:ind w:firstLine="709"/>
        <w:jc w:val="both"/>
        <w:spacing w:before="100" w:after="0" w:line="360" w:lineRule="auto"/>
      </w:pPr>
      <w:r>
        <w:rPr>
          <w:rFonts w:ascii="Times New Roman" w:hAnsi="Times New Roman"/>
          <w:b/>
          <w:sz w:val="28"/>
          <w:rFonts w:eastAsia="Times New Roman"/>
        </w:rPr>
        <w:t>7. 09.04.2026 – 11.04.2026 — Выявление потребностей (спроса) на товары и реализация маркетинговых мероприятий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Я занимался выявлением потребностей и спроса на товары организации. Учитывались сезонность, модные тренды, ценовая чувствительность покупателей. Проводил анализ спроса на основе аналитики поисковых запросов и поведения пользователей на сайте.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Ознакомился со сбытовой политикой, каналами распределения товаров, стратегиями ценообразования и мероприятиями по стимулированию потребителей (промокоды, распродажи, программа лояльности).</w:t>
      </w:r>
    </w:p>
    <w:p>
      <w:pPr>
        <w:ind w:firstLine="709"/>
        <w:jc w:val="both"/>
        <w:spacing w:before="100" w:after="0" w:line="360" w:lineRule="auto"/>
      </w:pPr>
      <w:r>
        <w:rPr>
          <w:rFonts w:ascii="Times New Roman" w:hAnsi="Times New Roman"/>
          <w:b/>
          <w:sz w:val="28"/>
          <w:rFonts w:eastAsia="Times New Roman"/>
        </w:rPr>
        <w:t>8. 09.04.2026 – 11.04.2026 — Участие в проведении рекламных акций и маркетинговых коммуникаций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Ознакомился с маркетинговыми мероприятиями организации: цифровая реклама, email- и push-рассылки, работа с блогерами, сезонные распродажи, офлайн-мероприятия. Принял участие в составлении проекта рекламной кампании и подготовке креативных брифов.</w:t>
      </w:r>
    </w:p>
    <w:p>
      <w:pPr>
        <w:ind w:firstLine="709"/>
        <w:jc w:val="both"/>
        <w:spacing w:before="100" w:after="0" w:line="360" w:lineRule="auto"/>
      </w:pPr>
      <w:r>
        <w:rPr>
          <w:rFonts w:ascii="Times New Roman" w:hAnsi="Times New Roman"/>
          <w:b/>
          <w:sz w:val="28"/>
          <w:rFonts w:eastAsia="Times New Roman"/>
        </w:rPr>
        <w:t>9. 09.04.2026 – 11.04.2026 — Анализ маркетинговой среды организации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Проводил комплексный анализ маркетинговой среды: внутренняя среда организации, социально-экономическая среда, демографическая среда, конкурентная среда (Wildberries, Ozon, Яндекс Маркет).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Оценка конкурентоспособности проводилась по объёмам продаж, потребительским характеристикам и экономическим показателям. Выявлены сильные позиции организации: широкий ассортимент, развитая логистика, бесплатная примерка и возвраты.</w:t>
      </w:r>
    </w:p>
    <w:p>
      <w:r>
        <w:br w:type="page"/>
      </w:r>
    </w:p>
    <w:p>
      <w:pPr>
        <w:jc w:val="center"/>
        <w:spacing w:before="0" w:after="200" w:line="360" w:lineRule="auto"/>
      </w:pPr>
      <w:r>
        <w:rPr>
          <w:rFonts w:ascii="Times New Roman" w:hAnsi="Times New Roman"/>
          <w:b/>
          <w:sz w:val="28"/>
          <w:rFonts w:eastAsia="Times New Roman"/>
        </w:rPr>
        <w:t>ЗАКЛЮЧЕНИЕ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По итогам прохождения производственной практики по профессиональному модулю ПМ 02 «Организация и проведение экономической и маркетинговой деятельности» в ООО «Купишуз» были достигнуты поставленные цели и задачи.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В процессе практики я научился оформлять финансовые документы и отчёты, проводить денежные расчёты, участвовать в учёте и инвентаризации товарно-материальных ценностей. Приобрёл практические навыки расчёта основных налогов и анализа показателей финансово-хозяйственной деятельности организации.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В ходе практики проявил знания в области маркетинговой деятельности: научился выявлять потребности потребителей, анализировать маркетинговую среду организации, оценивать конкурентоспособность товарного предложения, а также участвовать в разработке и реализации маркетинговых мероприятий.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Прохождение практики позволило закрепить теоретические знания, полученные в процессе обучения, и сформировать важные профессиональные компетенции, необходимые для работы в сфере коммерции. Полученный опыт будет полезен в дальнейшей профессиональной деятельности.</w:t>
      </w:r>
    </w:p>
    <w:p>
      <w:r>
        <w:br w:type="page"/>
      </w:r>
    </w:p>
    <w:p>
      <w:pPr>
        <w:jc w:val="center"/>
        <w:spacing w:before="0" w:after="200" w:line="360" w:lineRule="auto"/>
      </w:pPr>
      <w:r>
        <w:rPr>
          <w:rFonts w:ascii="Times New Roman" w:hAnsi="Times New Roman"/>
          <w:b/>
          <w:sz w:val="28"/>
          <w:rFonts w:eastAsia="Times New Roman"/>
        </w:rPr>
        <w:t>СПИСОК ИСПОЛЬЗОВАННЫХ ИСТОЧНИКОВ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1. Гражданский кодекс Российской Федерации (часть первая) от 30.11.1994 № 51-ФЗ (в ред. от 14.04.2023) // КонсультантПлюс.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2. Налоговый кодекс Российской Федерации (часть первая) от 31.07.1998 № 146-ФЗ (в ред. от 25.12.2023) и (часть вторая) от 05.08.2000 № 117-ФЗ (в ред. от 23.03.2024) // КонсультантПлюс.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3. Федеральный закон от 08.02.1998 № 14-ФЗ «Об обществах с ограниченной ответственностью» (в ред. от 04.08.2023) // КонсультантПлюс.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4. Федеральный закон от 08.08.2001 № 129-ФЗ «О государственной регистрации юридических лиц и индивидуальных предпринимателей» (в ред. от 02.07.2023) // КонсультантПлюс.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5. Закон РФ от 07.02.1992 № 2300-1 «О защите прав потребителей» (в ред. от 04.08.2023) // КонсультантПлюс.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6. Федеральный закон от 22.05.2003 № 54-ФЗ «О применении контрольно-кассовой техники при осуществлении расчётов в РФ» (в ред. от 04.08.2023) // КонсультантПлюс.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7. Федеральный закон от 27.07.2006 № 152-ФЗ «О персональных данных» (в ред. от 06.02.2023) // КонсультантПлюс.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8. Постановление Правительства РФ от 31.12.2020 № 2463 «Об утверждении Правил продажи товаров по договору розничной купли-продажи…» // КонсультантПлюс.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9. Методические указания по производственной практике по ПМ 02. – М.: МФЮА, 2025.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10. Учётная политика ООО «Купишуз» на 2026 год (внутренний документ).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11. Данные бухгалтерского учёта и отчётности ООО «Купишуз» за 2025–2026 гг.</w:t>
      </w:r>
    </w:p>
    <w:p>
      <w:pPr>
        <w:ind w:firstLine="709"/>
        <w:jc w:val="both"/>
        <w:spacing w:before="0" w:after="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12. Официальный сайт Lamoda (ООО «Купишуз»). — URL: https://www.lamoda.ru</w:t>
      </w:r>
    </w:p>
    <w:p>
      <w:r>
        <w:br w:type="page"/>
      </w:r>
    </w:p>
    <w:p>
      <w:pPr>
        <w:jc w:val="center"/>
        <w:spacing w:before="0" w:after="200" w:line="360" w:lineRule="auto"/>
      </w:pPr>
      <w:r>
        <w:rPr>
          <w:rFonts w:ascii="Times New Roman" w:hAnsi="Times New Roman"/>
          <w:b/>
          <w:sz w:val="28"/>
          <w:rFonts w:eastAsia="Times New Roman"/>
        </w:rPr>
        <w:t>ПРИЛОЖЕНИЯ</w:t>
      </w:r>
    </w:p>
    <w:p>
      <w:pPr>
        <w:jc w:val="center"/>
        <w:spacing w:before="0" w:after="100" w:line="360" w:lineRule="auto"/>
      </w:pPr>
      <w:r>
        <w:rPr>
          <w:rFonts w:ascii="Times New Roman" w:hAnsi="Times New Roman"/>
          <w:b/>
          <w:sz w:val="28"/>
          <w:rFonts w:eastAsia="Times New Roman"/>
        </w:rPr>
        <w:t>Приложение 1</w:t>
      </w:r>
    </w:p>
    <w:p>
      <w:pPr>
        <w:jc w:val="center"/>
        <w:spacing w:before="0" w:after="20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Нормативно-правовые акты, регулирующие деятельность ООО «Купишуз»</w:t>
      </w:r>
    </w:p>
    <w:p>
      <w:pPr>
        <w:ind w:left="709"/>
        <w:jc w:val="both"/>
        <w:spacing w:before="0" w:after="0" w:line="360" w:lineRule="auto"/>
      </w:pPr>
      <w:r>
        <w:rPr>
          <w:rFonts w:ascii="Times New Roman" w:hAnsi="Times New Roman"/>
          <w:sz w:val="28"/>
        </w:rPr>
        <w:t>− Гражданский кодекс РФ (часть первая) от 30.11.1994 № 51-ФЗ (в ред. от 14.04.2023).</w:t>
      </w:r>
    </w:p>
    <w:p>
      <w:pPr>
        <w:ind w:left="709"/>
        <w:jc w:val="both"/>
        <w:spacing w:before="0" w:after="0" w:line="360" w:lineRule="auto"/>
      </w:pPr>
      <w:r>
        <w:rPr>
          <w:rFonts w:ascii="Times New Roman" w:hAnsi="Times New Roman"/>
          <w:sz w:val="28"/>
        </w:rPr>
        <w:t>− Налоговый кодекс РФ (часть первая) от 31.07.1998 № 146-ФЗ и (часть вторая) от 05.08.2000 № 117-ФЗ.</w:t>
      </w:r>
    </w:p>
    <w:p>
      <w:pPr>
        <w:ind w:left="709"/>
        <w:jc w:val="both"/>
        <w:spacing w:before="0" w:after="0" w:line="360" w:lineRule="auto"/>
      </w:pPr>
      <w:r>
        <w:rPr>
          <w:rFonts w:ascii="Times New Roman" w:hAnsi="Times New Roman"/>
          <w:sz w:val="28"/>
        </w:rPr>
        <w:t>− Федеральный закон от 08.02.1998 № 14-ФЗ «Об обществах с ограниченной ответственностью».</w:t>
      </w:r>
    </w:p>
    <w:p>
      <w:pPr>
        <w:ind w:left="709"/>
        <w:jc w:val="both"/>
        <w:spacing w:before="0" w:after="0" w:line="360" w:lineRule="auto"/>
      </w:pPr>
      <w:r>
        <w:rPr>
          <w:rFonts w:ascii="Times New Roman" w:hAnsi="Times New Roman"/>
          <w:sz w:val="28"/>
        </w:rPr>
        <w:t>− Федеральный закон от 08.08.2001 № 129-ФЗ «О государственной регистрации юридических лиц».</w:t>
      </w:r>
    </w:p>
    <w:p>
      <w:pPr>
        <w:ind w:left="709"/>
        <w:jc w:val="both"/>
        <w:spacing w:before="0" w:after="0" w:line="360" w:lineRule="auto"/>
      </w:pPr>
      <w:r>
        <w:rPr>
          <w:rFonts w:ascii="Times New Roman" w:hAnsi="Times New Roman"/>
          <w:sz w:val="28"/>
        </w:rPr>
        <w:t>− Закон РФ от 07.02.1992 № 2300-1 «О защите прав потребителей».</w:t>
      </w:r>
    </w:p>
    <w:p>
      <w:pPr>
        <w:ind w:left="709"/>
        <w:jc w:val="both"/>
        <w:spacing w:before="0" w:after="0" w:line="360" w:lineRule="auto"/>
      </w:pPr>
      <w:r>
        <w:rPr>
          <w:rFonts w:ascii="Times New Roman" w:hAnsi="Times New Roman"/>
          <w:sz w:val="28"/>
        </w:rPr>
        <w:t>− Федеральный закон от 22.05.2003 № 54-ФЗ «О применении контрольно-кассовой техники».</w:t>
      </w:r>
    </w:p>
    <w:p>
      <w:pPr>
        <w:ind w:left="709"/>
        <w:jc w:val="both"/>
        <w:spacing w:before="0" w:after="0" w:line="360" w:lineRule="auto"/>
      </w:pPr>
      <w:r>
        <w:rPr>
          <w:rFonts w:ascii="Times New Roman" w:hAnsi="Times New Roman"/>
          <w:sz w:val="28"/>
        </w:rPr>
        <w:t>− Федеральный закон от 27.07.2006 № 152-ФЗ «О персональных данных».</w:t>
      </w:r>
    </w:p>
    <w:p>
      <w:pPr>
        <w:ind w:left="709"/>
        <w:jc w:val="both"/>
        <w:spacing w:before="0" w:after="0" w:line="360" w:lineRule="auto"/>
      </w:pPr>
      <w:r>
        <w:rPr>
          <w:rFonts w:ascii="Times New Roman" w:hAnsi="Times New Roman"/>
          <w:sz w:val="28"/>
        </w:rPr>
        <w:t>− Постановление Правительства РФ от 31.12.2020 № 2463 «Правила продажи товаров».</w:t>
      </w:r>
    </w:p>
    <w:p>
      <w:pPr>
        <w:ind w:left="709"/>
        <w:jc w:val="both"/>
        <w:spacing w:before="0" w:after="0" w:line="360" w:lineRule="auto"/>
      </w:pPr>
      <w:r>
        <w:rPr>
          <w:rFonts w:ascii="Times New Roman" w:hAnsi="Times New Roman"/>
          <w:sz w:val="28"/>
        </w:rPr>
        <w:t>− ТР ТС 017/2011 «О безопасности продукции лёгкой промышленности».</w:t>
      </w:r>
    </w:p>
    <w:p>
      <w:pPr>
        <w:ind w:left="709"/>
        <w:jc w:val="both"/>
        <w:spacing w:before="0" w:after="0" w:line="360" w:lineRule="auto"/>
      </w:pPr>
      <w:r>
        <w:rPr>
          <w:rFonts w:ascii="Times New Roman" w:hAnsi="Times New Roman"/>
          <w:sz w:val="28"/>
        </w:rPr>
        <w:t>− Постановление Правительства РФ от 05.07.2019 № 860 (система «Честный ЗНАК»).</w:t>
      </w:r>
    </w:p>
    <w:p>
      <w:pPr>
        <w:ind w:left="709"/>
        <w:jc w:val="both"/>
        <w:spacing w:before="0" w:after="0" w:line="360" w:lineRule="auto"/>
      </w:pPr>
      <w:r>
        <w:rPr>
          <w:rFonts w:ascii="Times New Roman" w:hAnsi="Times New Roman"/>
          <w:sz w:val="28"/>
        </w:rPr>
        <w:t>− ГОСТ Р 51303-2013 «Торговля. Термины и определения».</w:t>
      </w:r>
    </w:p>
    <w:p>
      <w:r>
        <w:br w:type="page"/>
      </w:r>
    </w:p>
    <w:p>
      <w:pPr>
        <w:jc w:val="center"/>
        <w:spacing w:before="0" w:after="100" w:line="360" w:lineRule="auto"/>
      </w:pPr>
      <w:r>
        <w:rPr>
          <w:rFonts w:ascii="Times New Roman" w:hAnsi="Times New Roman"/>
          <w:b/>
          <w:sz w:val="28"/>
          <w:rFonts w:eastAsia="Times New Roman"/>
        </w:rPr>
        <w:t>Приложение 2</w:t>
      </w:r>
    </w:p>
    <w:p>
      <w:pPr>
        <w:jc w:val="center"/>
        <w:spacing w:before="0" w:after="20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Организационная структура ООО «Купишуз»</w:t>
      </w:r>
    </w:p>
    <w:p>
      <w:pPr>
        <w:jc w:val="center"/>
        <w:spacing w:before="200" w:after="0" w:line="360" w:lineRule="auto"/>
      </w:pPr>
      <w:r>
        <w:rPr>
          <w:rFonts w:ascii="Times New Roman" w:hAnsi="Times New Roman"/>
          <w:b w:val="0"/>
          <w:sz w:val="24"/>
          <w:rFonts w:eastAsia="Times New Roman"/>
        </w:rPr>
        <w:t>Рисунок П2.1 – Организационная структура ООО «Купишуз»</w:t>
      </w:r>
    </w:p>
    <w:p>
      <w:r>
        <w:br w:type="page"/>
      </w:r>
    </w:p>
    <w:p>
      <w:pPr>
        <w:jc w:val="center"/>
        <w:spacing w:before="0" w:after="100" w:line="360" w:lineRule="auto"/>
      </w:pPr>
      <w:r>
        <w:rPr>
          <w:rFonts w:ascii="Times New Roman" w:hAnsi="Times New Roman"/>
          <w:b/>
          <w:sz w:val="28"/>
          <w:rFonts w:eastAsia="Times New Roman"/>
        </w:rPr>
        <w:t>Приложение 3</w:t>
      </w:r>
    </w:p>
    <w:p>
      <w:pPr>
        <w:jc w:val="center"/>
        <w:spacing w:before="0" w:after="20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План помещений ООО «Купишуз»</w:t>
      </w:r>
    </w:p>
    <w:p>
      <w:pPr>
        <w:jc w:val="center"/>
        <w:spacing w:before="200" w:after="0" w:line="360" w:lineRule="auto"/>
      </w:pPr>
      <w:r>
        <w:rPr>
          <w:rFonts w:ascii="Times New Roman" w:hAnsi="Times New Roman"/>
          <w:b w:val="0"/>
          <w:sz w:val="24"/>
          <w:rFonts w:eastAsia="Times New Roman"/>
        </w:rPr>
        <w:t>Рисунок П3.1 – План помещений: г. Москва, Дербеневская набережная, д. 7, стр. 22</w:t>
      </w:r>
    </w:p>
    <w:p>
      <w:r>
        <w:br w:type="page"/>
      </w:r>
    </w:p>
    <w:p>
      <w:pPr>
        <w:jc w:val="center"/>
        <w:spacing w:before="0" w:after="100" w:line="360" w:lineRule="auto"/>
      </w:pPr>
      <w:r>
        <w:rPr>
          <w:rFonts w:ascii="Times New Roman" w:hAnsi="Times New Roman"/>
          <w:b/>
          <w:sz w:val="28"/>
          <w:rFonts w:eastAsia="Times New Roman"/>
        </w:rPr>
        <w:t>Приложение 4</w:t>
      </w:r>
    </w:p>
    <w:p>
      <w:pPr>
        <w:jc w:val="center"/>
        <w:spacing w:before="0" w:after="20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Основные показатели ФХД ООО «Купишуз» за 2025–2026 гг.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6 мес. 2025 г.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12 мес. 2025 г.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6 мес. 2026 г.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Изменение, %</w:t>
            </w:r>
          </w:p>
        </w:tc>
      </w:tr>
      <w:tr>
        <w:tc>
          <w:tcPr>
            <w:tcW w:type="dxa" w:w="1938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Выручка, тыс. руб.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4 850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9 720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6 120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26,2</w:t>
            </w:r>
          </w:p>
        </w:tc>
      </w:tr>
      <w:tr>
        <w:tc>
          <w:tcPr>
            <w:tcW w:type="dxa" w:w="1938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Себестоимость, тыс. руб.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3 710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7 450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4 680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26,1</w:t>
            </w:r>
          </w:p>
        </w:tc>
      </w:tr>
      <w:tr>
        <w:tc>
          <w:tcPr>
            <w:tcW w:type="dxa" w:w="1938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Валовая прибыль, тыс. руб.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1 140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2 270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1 440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26,3</w:t>
            </w:r>
          </w:p>
        </w:tc>
      </w:tr>
      <w:tr>
        <w:tc>
          <w:tcPr>
            <w:tcW w:type="dxa" w:w="1938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Чистая прибыль, тыс. руб.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680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1 350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910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33,8</w:t>
            </w:r>
          </w:p>
        </w:tc>
      </w:tr>
      <w:tr>
        <w:tc>
          <w:tcPr>
            <w:tcW w:type="dxa" w:w="1938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Рентабельность продаж, %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14,0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13,9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14,9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+0,9 п.п.</w:t>
            </w:r>
          </w:p>
        </w:tc>
      </w:tr>
      <w:tr>
        <w:tc>
          <w:tcPr>
            <w:tcW w:type="dxa" w:w="1938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Рентабельность активов, %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8,5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8,7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9,8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+1,3 п.п.</w:t>
            </w:r>
          </w:p>
        </w:tc>
      </w:tr>
      <w:tr>
        <w:tc>
          <w:tcPr>
            <w:tcW w:type="dxa" w:w="1938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Коэф. текущей ликвидности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1,65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1,72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1,81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0,16</w:t>
            </w:r>
          </w:p>
        </w:tc>
      </w:tr>
    </w:tbl>
    <w:p>
      <w:pPr>
        <w:jc w:val="center"/>
        <w:spacing w:before="100" w:after="0" w:line="360" w:lineRule="auto"/>
      </w:pPr>
      <w:r>
        <w:rPr>
          <w:rFonts w:ascii="Times New Roman" w:hAnsi="Times New Roman"/>
          <w:b w:val="0"/>
          <w:sz w:val="24"/>
          <w:rFonts w:eastAsia="Times New Roman"/>
        </w:rPr>
        <w:t>Таблица П4.1 – Основные показатели ФХД организации за 2025–2026 гг.</w:t>
      </w:r>
    </w:p>
    <w:p>
      <w:r>
        <w:br w:type="page"/>
      </w:r>
    </w:p>
    <w:p>
      <w:pPr>
        <w:jc w:val="center"/>
        <w:spacing w:before="0" w:after="100" w:line="360" w:lineRule="auto"/>
      </w:pPr>
      <w:r>
        <w:rPr>
          <w:rFonts w:ascii="Times New Roman" w:hAnsi="Times New Roman"/>
          <w:b/>
          <w:sz w:val="28"/>
          <w:rFonts w:eastAsia="Times New Roman"/>
        </w:rPr>
        <w:t>Приложение 5</w:t>
      </w:r>
    </w:p>
    <w:p>
      <w:pPr>
        <w:jc w:val="center"/>
        <w:spacing w:before="0" w:after="20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  <w:t>Динамика выручки, чистой прибыли и структура затрат ООО «Купишуз» за 2025–2026 гг.</w:t>
      </w:r>
    </w:p>
    <w:p>
      <w:pPr>
        <w:jc w:val="center"/>
        <w:spacing w:before="200" w:after="0" w:line="360" w:lineRule="auto"/>
      </w:pPr>
      <w:r>
        <w:rPr>
          <w:rFonts w:ascii="Times New Roman" w:hAnsi="Times New Roman"/>
          <w:b w:val="0"/>
          <w:sz w:val="24"/>
          <w:rFonts w:eastAsia="Times New Roman"/>
        </w:rPr>
        <w:t>Рисунок П5.1 – Динамика выручки и чистой прибыли ООО «Купишуз» за 2025–2026 гг., тыс. руб.</w:t>
      </w:r>
    </w:p>
    <w:p>
      <w:pPr>
        <w:jc w:val="both"/>
        <w:spacing w:before="0" w:after="400" w:line="360" w:lineRule="auto"/>
      </w:pPr>
      <w:r>
        <w:rPr>
          <w:rFonts w:ascii="Times New Roman" w:hAnsi="Times New Roman"/>
          <w:b w:val="0"/>
          <w:sz w:val="28"/>
          <w:rFonts w:eastAsia="Times New Roman"/>
        </w:rPr>
      </w:r>
    </w:p>
    <w:p>
      <w:pPr>
        <w:jc w:val="center"/>
        <w:spacing w:before="200" w:after="0" w:line="360" w:lineRule="auto"/>
      </w:pPr>
      <w:r>
        <w:rPr>
          <w:rFonts w:ascii="Times New Roman" w:hAnsi="Times New Roman"/>
          <w:b w:val="0"/>
          <w:sz w:val="24"/>
          <w:rFonts w:eastAsia="Times New Roman"/>
        </w:rPr>
        <w:t>Рисунок П5.2 – Структура затрат ООО «Купишуз» за 12 месяцев 2026 г., %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