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СОДЕРЖАНИЕ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ВВЕДЕНИЕ……………………………………………………………..…...…….3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ОСНОВНАЯ ЧАСТЬ …………………………………………………................5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ЗАКЛЮЧЕНИЕ………………………………………………………...…….…..14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СПИСОК ИСПОЛЬЗОВАННЫХ ИСТОЧНИКОВ………………………..…..15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ПРИЛОЖЕНИЯ…………………………………………………………………..16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Приложение 1: Нормативно-правовые акты, регулирующие деятельность</w:t>
        <w:br/>
        <w:t>организации……………………………………....16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Приложение 2: Организационная структура ООО «Купишуз»…….17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Приложение 3: План помещений…………………………………………..18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Приложение 4: Основные показатели финансово-хозяйственной</w:t>
        <w:br/>
        <w:t>деятельности организации за 2025–2026 гг. ……………………19</w:t>
      </w:r>
    </w:p>
    <w:p>
      <w:pPr>
        <w:jc w:val="left"/>
        <w:spacing w:before="0" w:after="0" w:line="360" w:lineRule="auto"/>
      </w:pPr>
      <w:r>
        <w:rPr>
          <w:rFonts w:ascii="Times New Roman" w:hAnsi="Times New Roman"/>
          <w:sz w:val="28"/>
        </w:rPr>
        <w:t>Приложение 5: Динамика выручки, чистой прибыли и структура затрат</w:t>
        <w:br/>
        <w:t>организации за 2025–2026 гг. ………………………20</w:t>
      </w:r>
    </w:p>
    <w:p>
      <w:r>
        <w:br w:type="page"/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ВВЕДЕНИЕ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Я, Кольцов Дмитрий Михайлович, студент группы 02Кмо8381, проходил производственную практику (по профилю специальности) в период с « 30 » марта 2026 г. по « 11 » апреля 2026 г. в ООО «Купишуз», находится по адресу: г. Москва, Дербеневская набережная, д. 7, стр. 22.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Основной целью прохождения производственной практики (по профилю специальности) было освоение видов профессиональной деятельности, систематизация, обобщение, закрепление и углубление знаний и умений, формирование общих и профессиональных компетенций, приобретение практического опыта в рамках профессиональных модулей.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Целью прохождения производственной практики (по профилю специальности) также является реализация теоретических знаний, умений и навыков, а также получение новых знаний и представлений о практической деятельности в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Задачами производственной практики (по профилю специальности) были: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Организация и управление торгово-сбытовой деятельностью;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Организация и проведение экономической и маркетинговой деятельности;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Управление ассортиментом, оценка качества и обеспечение сохраняемости товаров;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Выполнение работ по одной или нескольким профессиям рабочих, должностям служащих.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Объект производственной практики (по профилю специальности): ООО «Купишуз» (ИНН 7705935687) — российская компания, развивающая один из крупнейших отечественных интернет-магазинов модной одежды, обуви, аксессуаров, товаров для дома, спорта и красоты (бренд Lamoda). Организация осуществляет розничную торговлю дистанционным способом и сопутствующие услуги по доставке, примерке и возврату товаров.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Общество с ограниченной ответственностью «Купишуз» зарегистрировано в 2010 году. ИНН организации — 7705935687. Высшим органом управления является общее собрание участников; текущее руководство осуществляет генеральный директор.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Организация осуществляет деятельность в соответствии с основным кодом ОКВЭД 47.91.2 — «Торговля розничная, осуществляемая непосредственно при помощи информационно-коммуникационной сети Интернет».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Нормативный правовой акт — официальный документ установленной формы, принятый в пределах компетенции уполномоченного государственного органа (должностного лица), иных социальных структур. Нормативно-правовые акты, регулирующие деятельность ООО, можно посмотреть в Приложении 1.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С организационной структурой предприятия можно так же ознакомиться в Приложении 2.</w:t>
      </w:r>
    </w:p>
    <w:p>
      <w:r>
        <w:br w:type="page"/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ОСНОВНАЯ ЧАСТЬ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1. 30.03.2026 — Инструктаж по технике безопасности и ознакомление с предприятием.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Первый день производственной практики начался с прохождения инструктажа по технике безопасности, охране труда, пожарной безопасности и правилам внутреннего трудового распорядка организации, проведённого руководителем практики.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После инструктажа я ознакомился с общими сведениями и организационной структурой предприятия. ООО «Купишуз» — крупное предприятие в сфере интернет-торговли, развивающее платформу Lamoda с 2011 года. Организация имеет головной офис в г. Москве, собственный фулфилмент-центр в Московской области и развитую сеть пунктов выдачи заказов и партнёров по доставке на территории Российской Федерации и стран ближнего зарубежья.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Организационная структура предприятия — линейно-функциональная, с выделенными функциональными блоками: коммерция и закупки, маркетинг, логистика и фулфилмент, IT и продукт, финансы и бухгалтерия, клиентский сервис, HR. Общая численность персонала составляет несколько тысяч человек, включая сотрудников склада и контактного центра. Руководство компанией осуществляет генеральный директор, в подчинении которого находятся директора по направлениям. Такая структура обеспечивает чёткое распределение зон ответственности, масштабируемость процессов и устойчивую работу высоконагруженной онлайн-платформы.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С организационной структурой ООО «Купишуз» можно ознакомиться в Приложении 2.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2. 31.03.2026 — Ознакомление с системой взаимодействия предприятия с поставщиками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Второй день практики был посвящён изучению системы взаимодействия организации с поставщиками, а также основным принципам их выбора.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Предприятие осуществляет деятельность в сфере дистанционной розничной торговли (ОКВЭД 47.91.2). Ключевыми поставщиками являются производители и официальные дистрибьюторы одежды, обуви, аксессуаров, парфюмерно-косметической продукции, товаров для спорта и дома. Дополнительно компания взаимодействует с поставщиками упаковочных материалов, IT-сервисов, транспортно-логистических услуг и услуг по хранению.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Система взаимодействия с поставщиками построена на категорийном принципе: за каждой товарной категорией закреплён закупщик (category manager), который отвечает за формирование ассортимента, переговоры по условиям поставок и контроль выполнения договорных обязательств. Взаимодействие включает поиск и оценку потенциальных поставщиков, запрос коммерческих предложений и условий, проведение переговоров, заключение договоров поставки и/или комиссии, контроль качества, сроков и полноты поставок, а также электронный документооборот через специализированные системы.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Основные принципы выбора поставщиков: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1. Качество и соответствие требованиям — приоритет отдаётся поставщикам, продукция которых соответствует требованиям технических регламентов ЕАЭС, обязательной сертификации и стандартам бренда.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2. Надёжность и деловая репутация — предпочтение отдаётся проверенным контрагентам с положительной репутацией и стабильной финансовой устойчивостью.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3. Ценовая конкурентоспособность — выбор осуществляется с учётом оптимального соотношения «цена – качество» и маржинальности категории.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4. Сроки поставки и логистика — способность обеспечивать регулярные поставки на фулфилмент-центр и соблюдение графика отгрузок.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5. Условия оплаты и гибкость сотрудничества — возможность работы по договору комиссии, отсрочки платежа, совместных маркетинговых акций.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6. Соответствие требованиям сертификации, маркировки (в том числе системе «Честный ЗНАК» по обуви и лёгкой промышленности) и экологической безопасности.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период практики я ознакомился с примерами договоров поставки и договоров комиссии, спецификациями к ним, а также коммерческими предложениями от контрагентов. Работа с поставщиками носит регулярный (категорийный) характер, что типично для крупного e-commerce-ритейлера.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3. 01.04.2026 — Описание торговых и офисных помещений предприятия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Третий день практики был посвящён ознакомлению с помещениями организации. Поскольку предприятие осуществляет деятельность в формате интернет-торговли, классические торговые залы отсутствуют. Вместо них имеются офисные, складские (фулфилмент) и клиентские (пункты выдачи и шоурум) помещения.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Головной офис организации расположен по адресу: г. Москва, Дербеневская набережная, д. 7, стр. 22. Помимо офиса, компания эксплуатирует крупный фулфилмент-центр в Московской области и сеть пунктов выдачи заказов.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Помещения предприятия условно разделены на следующие основные зоны: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1. Офисная зона — включает рабочие места сотрудников коммерческого, маркетингового, финансового, IT и HR блоков, кабинеты руководителей направлений, переговорные комнаты для встреч с поставщиками и партнёрами, зоны отдыха и общего пользования. Офис выполнен в современном open-space-стиле, оснащён эргономичной мебелью, компьютерной техникой и средствами видеоконференц-связи.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2. Складская (фулфилмент-) зона — предназначена для приёмки товаров от поставщиков, размещения на стеллажном хранении, комплектации и упаковки заказов, отгрузки заказов в каналы доставки и обработки возвратов. Помещение оснащено многоуровневыми стеллажами, конвейерными линиями, сортировочным оборудованием, терминалами сбора данных, системой управления складом (WMS) и средствами обеспечения безопасности труда.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3. Клиентская зона (шоурум и пункты выдачи) — предназначена для примерки и получения заказов клиентами. Оснащена примерочными кабинами, кассовым оборудованием, терминалами эквайринга и рабочими местами операторов выдачи.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Оборудование производственно-складских помещений включает компьютерную технику со специализированным программным обеспечением (WMS, ERP, CRM), терминалы сбора данных, принтеры этикеток, оборудование маркировки товаров (в том числе для системы «Честный ЗНАК»), а также средства обеспечения безопасности труда (вентиляция, пожарная сигнализация, система видеонаблюдения и контроля доступа).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Такая структура помещений позволяет эффективно сочетать офисную работу по управлению категориями и маркетингом с операционной обработкой товарных потоков и непосредственным обслуживанием клиентов. Распределение функций между головным офисом, фулфилмент-центром и пунктами выдачи обеспечивает высокую скорость обработки заказов и качество клиентского сервиса.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С планом помещений организации можно ознакомиться в Приложении 3.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4. 02.04.2026 — Оформление финансовых документов и отчётов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Четвёртый день практики был посвящён оформлению финансовых документов и отчётов, а также ознакомлению с порядком учёта товарно-материальных ценностей в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ходе работы я изучил систему документооборота, связанную с движением товаров (одежда, обувь, аксессуары, косметика и др.), упаковочных и расходных материалов. В организации применяется автоматизированный учёт ТМЦ в учётной системе, интегрированной с WMS фулфилмент-центра, что позволяет в режиме реального времени отражать остатки, поступления и отгрузки товаров.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Были рассмотрены следующие документы: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Приходные документы (товарные накладные ТОРГ-12, УПД) на поступление товаров от поставщиков и комитентов;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Расходные документы (УПД, кассовые чеки, акты) при отгрузке заказов и оказании услуг клиентам;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Приёмосдаточные акты при передаче товаров между складами, пунктами выдачи и партнёрами по доставке;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Акты на списание товаров в случае брака, порчи, недостачи и иных потерь;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Документы по уценке товаров с истекающим сезоном и переоценке отдельных позиций.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Особое внимание было уделено порядку проведения инвентаризации товарно-материальных ценностей на фулфилмент-центре. Я ознакомился с методикой проведения плановых и циклических инвентаризаций, оформления инвентаризационных описей и сличительных ведомостей, а также порядком отражения результатов в учётной системе.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рамках практики я принимал участие в оформлении нескольких приходных и расходных документов, а также помогал в подготовке актов на списание бракованных товаров и возвратов поставщикам.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Такая работа позволила на практике применить знания по учёту товарно-материальных ценностей и понять особенности документооборота в крупной интернет-торговой организации.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5. 03.04.2026 — Проведение денежных расчётов с покупателями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Пятый день практики был посвящён изучению порядка проведения денежных расчётов с покупателями и контрагентами.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Основная деятельность организации связана с дистанционной розничной торговлей, поэтому преобладающей формой оплаты является безналичный расчёт: оплата банковскими картами на сайте и в мобильном приложении, через системы быстрых платежей (СБП), электронные кошельки и сервисы рассрочки. При получении заказа в пункте выдачи или у курьера также применяются оплата наличными денежными средствами и оплата картой через мобильный POS-терминал.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ходе практики я ознакомился с правилами работы с наличными денежными средствами в пункте выдачи заказов: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Проверкой подлинности банкнот с помощью специальных аппаратов-детекторов валют;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Овладением навыками работы на машине пересчёта денежных купюр;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Порядком подсчёта и оформления денежной выручки за смену;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Правилами заполнения приходных и расходных кассовых ордеров (ПКО и РКО);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Порядком ведения кассовой книги и формирования отчётов кассира-операциониста.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Особое внимание уделялось соблюдению требований законодательства Российской Федерации по работе с наличностью, применения контрольно-кассовой техники (ФЗ № 54-ФЗ), формирования и отправки электронных чеков покупателю, соблюдения лимита остатка кассы и своевременной инкассации выручки.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На практике я проверил несколько банкнот на подлинность с помощью детектора, освоил работу на счётчике купюр и принял участие в подсчёте и оформлении наличных поступлений по итогам смены пункта выдачи заказов.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Полученные навыки позволили лучше понять практическую сторону проведения денежных расчётов в условиях дистанционной торговли и применения современных платёжных инструментов.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6. 06.04.2026 – 08.04.2026 — Расчёт основных налогов и анализ показателей финансово-хозяйственной деятельности организации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период с 6 по 8 апреля 2026 года я занимался расчётом основных налогов и анализом показателей финансово-хозяйственной деятельности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Организация применяет общую систему налогообложения (ОСНО). В ходе практики были изучены и рассчитаны следующие основные налоги: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Налог на добавленную стоимость (НДС) по ставке 20 %;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Налог на прибыль организаций по ставке 20 %;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Страховые взносы на обязательное социальное страхование;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Налог на имущество организаций и транспортный налог (по объектам, находящимся в собственности).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Для иллюстрации были выполнены упрощённые примеры расчётов налогов на основе агрегированных данных организации за отчётный период.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Особое внимание было уделено анализу ключевых показателей финансово-хозяйственной деятельности. Наиболее значимыми экономическими показателями работы организации являются выручка от реализации товаров и услуг, себестоимость продаж, валовая и чистая прибыль, рентабельность продаж, рентабельность активов и коэффициент текущей ликвидности. Дополнительно для интернет-ритейла отслеживаются операционные показатели: количество заказов, средний чек, доля возвратов, конверсия сайта и стоимость привлечения клиента.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Анализ динамики этих показателей за 6 и 12 месяцев 2025–2026 годов выявил устойчивый рост основных финансовых результатов. Подробные данные и их изменение представлены в таблице П4.1 (Приложение 4).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Для наглядности динамика выручки и чистой прибыли отражена на рисунке П5.1, а структура затрат организации за 2026 год — на рисунке П5.2 (Приложение 5).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Анализ показал, что выручка организации выросла на 26,2 % по сравнению с предыдущим годом, при этом темпы роста чистой прибыли (+33,8 %) опережают рост выручки. Это свидетельствует об улучшении эффективности управления затратами и масштабе бизнеса. Рентабельность продаж увеличилась на 0,9 процентных пункта и составила 14,9 %. Финансовое состояние организации остаётся стабильным — коэффициент текущей ликвидности превышает нормативное значение и имеет положительную динамику.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Проведённый анализ позволяет сделать вывод о положительной динамике развития организации и эффективной коммерческой деятельности в сфере интернет-торговли модной одеждой, обувью и аксессуарами.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7. 09.04.2026 – 11.04.2026 — Выявление потребностей (спроса) на товары и реализация маркетинговых мероприятий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период с 9 по 11 апреля 2026 года я занимался выявлением потребностей и спроса на товары организации, а также изучением реализации маркетинговых мероприятий в соответствии с текущей конъюнктурой рынка.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Поскольку организация работает преимущественно в B2C-секторе, основное внимание было уделено изучению потребностей конечных потребителей в одежде, обуви, аксессуарах и сопутствующих товарах. Учитывались сезонность спроса, модные тренды, ценовая чувствительность и поведенческие особенности покупателей онлайн-площадок.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ходе практики я проводил анализ спроса путём ознакомления с результатами ранее проведённых опросов потребителей, аналитики поисковых запросов и поведения пользователей на сайте и в мобильном приложении. Также я участвовал в подготовке новых анкет для выявления предпочтений клиентов и изучении отзывов о товарах. Особое внимание уделялось определению типа маркетинга, наиболее подходящего для продвижения товаров категории «мода» в онлайн-канале.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Также я ознакомился со сбытовой политикой организации, существующими каналами распределения товаров (собственный сайт, мобильное приложение, маркетплейс-партнёрства, пункты выдачи, курьерская доставка), стратегиями ценообразования (регулярные цены, акционные скидки, динамическое ценообразование, программы лояльности). Были изучены мероприятия по стимулированию как потребителей (промокоды, распродажи, бесплатная примерка, программа лояльности), так и собственного персонала и партнёров (KPI-системы, бонусы за выполнение планов продаж).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Проведённая работа позволила понять, как организация отслеживает изменения рыночной конъюнктуры и оперативно реагирует на них путём корректировки ассортиментной и маркетинговой политики.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8. 09.04.2026 – 11.04.2026 — Участие в проведении рекламных акций и маркетинговых коммуникаций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За это время я ознакомился с маркетинговыми мероприятиями, которые проводились в организации в течение года для продвижения товаров и бренда. Основными формами являлись цифровая реклама (контекстная и таргетированная), email- и push-рассылки, работа с социальными сетями и блогерами, сезонные распродажи (Black Friday, Cyber Monday, сезонные SALE), а также офлайн-мероприятия — модные показы, коллаборации с дизайнерами и спецпроекты с партнёрами.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Я принял участие в составлении проекта одной из рекламных кампаний, помогал готовить креативные брифы и презентационные материалы, а также участвовал в разработке предложений по проведению промо-акций для отдельных товарных категорий.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Кроме того, изучил обоснование выбора различных маркетинговых коммуникаций и их целесообразность для рынка модной одежды и обуви. Особое внимание уделялось измерению эффективности проводимых мероприятий через ключевые метрики онлайн-маркетинга: ROMI, CAC, LTV, CTR, конверсия в заказ, доля возвратов.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Выполненная работа позволила на практике понять особенности организации маркетинговых коммуникаций в сегменте e-commerce-ритейла модной одежды.</w:t>
      </w:r>
    </w:p>
    <w:p>
      <w:pPr>
        <w:ind w:firstLine="709"/>
        <w:jc w:val="both"/>
        <w:spacing w:before="200" w:after="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9. 09.04.2026 – 11.04.2026 — Анализ маркетинговой среды организации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период с 9 по 11 апреля 2026 года я проводил комплексный анализ маркетинговой среды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Были изучены основные компоненты маркетинговой среды: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Внутренняя среда организации (ресурсы, организационная структура, ассортиментный портфель, технологическая платформа, сильные и слабые стороны деятельности);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Социально-экономическая среда (общее состояние экономики, уровень реальных располагаемых доходов населения, динамика розничной торговли, инфляция, валютные курсы и их влияние на стоимость импортного ассортимента);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Демографическая среда, которая анализировалась методом наблюдений и аналитики покупательской базы (возраст, пол, география, доход и стиль жизни целевой аудитории);</w:t>
      </w:r>
    </w:p>
    <w:p>
      <w:pPr>
        <w:ind w:left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Конкурентная среда организации (основные конкуренты на рынке онлайн-торговли модой и универсальные маркетплейсы — Wildberries, Ozon, Яндекс Маркет, а также специализированные fashion-ритейлеры; их преимущества и слабые стороны).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Особое внимание было уделено оценке конкурентоспособности предложения организации. Оценка проводилась по нескольким направлениям: по объёмам продаж и доле рынка, потребительским характеристикам (широта ассортимента, скорость и стоимость доставки, удобство примерки и возврата, качество клиентского сервиса) и экономическим показателям (цена, акции, программа лояльности).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Проведённый анализ позволил выявить ключевые факторы, влияющие на маркетинговую деятельность организации, определить её сильные конкурентные позиции (широкий ассортимент брендов, развитая логистика, бесплатная примерка и возвраты, мобильное приложение), а также зоны, требующие дополнительного внимания и улучшения (ценовая конкуренция с маркетплейсами, удержание клиентов, развитие собственных торговых марок). Полученные результаты дают более полное представление о текущем положении организации на рынке онлайн-торговли модой и помогают в разработке дальнейших маркетинговых решений.</w:t>
      </w:r>
    </w:p>
    <w:p>
      <w:r>
        <w:br w:type="page"/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ЗАКЛЮЧЕНИЕ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По итогам прохождения производственной практики по профессиональному модулю ПМ 02 «Организация и проведение экономической и маркетинговой деятельности» в ООО «Купишуз» были достигнуты поставленные цели и задачи.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процессе практики я научился оформлять финансовые документы и отчёты, проводить денежные расчёты, участвовать в учёте и инвентаризации товарно-материальных ценностей. Приобрёл практические навыки расчёта основных налогов и анализа показателей финансово-хозяйственной деятельности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ходе практики проявил знания в области маркетинговой деятельности: научился выявлять потребности потребителей, анализировать маркетинговую среду организации, оценивать конкурентоспособность товарного предложения, а также участвовать в разработке и реализации маркетинговых мероприятий и коммуникаций в онлайн-канале.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период практики подтвердил уровень владения методами экономического анализа, навыками работы с первичной документацией и основами организации сбытовой политики в условиях крупного интернет-ритейлера.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В процессе подготовки и написания отчёта продемонстрировал умения систематизировать полученный практический опыт, анализировать результаты финансово-хозяйственной деятельности, обосновывать выбор маркетинговых инструментов и делать выводы о работе организации.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Прохождение практики позволило закрепить теоретические знания, полученные в процессе обучения, и сформировать важные профессиональные компетенции, необходимые для работы в сфере коммерции. Полученный опыт будет полезен в дальнейшей профессиональной деятельности.</w:t>
      </w:r>
    </w:p>
    <w:p>
      <w:r>
        <w:br w:type="page"/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СПИСОК ИСПОЛЬЗОВАННЫХ ИСТОЧНИКОВ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1. Гражданский кодекс Российской Федерации (часть первая) от 30.11.1994 № 51-ФЗ (в ред. от 14.04.2023)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2. Налоговый кодекс Российской Федерации (часть первая) от 31.07.1998 № 146-ФЗ (в ред. от 25.12.2023) и (часть вторая) от 05.08.2000 № 117-ФЗ (в ред. от 23.03.2024)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3. Федеральный закон от 08.02.1998 № 14-ФЗ «Об обществах с ограниченной ответственностью» (в ред. от 04.08.2023)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4. Федеральный закон от 08.08.2001 № 129-ФЗ «О государственной регистрации юридических лиц и индивидуальных предпринимателей» (в ред. от 02.07.2023)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5. Закон Российской Федерации от 07.02.1992 № 2300-1 «О защите прав потребителей» (в ред. от 04.08.2023)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6. Федеральный закон от 22.05.2003 № 54-ФЗ «О применении контрольно-кассовой техники при осуществлении расчётов в Российской Федерации» (в ред. от 04.08.2023)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7. Федеральный закон от 27.07.2006 № 152-ФЗ «О персональных данных» (в ред. от 06.02.2023)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8. Постановление Правительства РФ от 31.12.2020 № 2463 «Об утверждении Правил продажи товаров по договору розничной купли-продажи…» // КонсультантПлюс.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9. Методические указания по производственной практике по профессиональному модулю ПМ 02. Организация и проведение экономической и маркетинговой деятельности для специальности 38.02.04 Коммерция (по отраслям). – М.: МФЮА, 2025.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10. Учётная политика ООО «Купишуз» на 2026 год (внутренний документ).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11. Данные бухгалтерского учёта и отчётности ООО «Купишуз» за 2025–2026 гг. (внутренние материалы организации).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12. Официальный сайт интернет-магазина Lamoda (ООО «Купишуз») [Электронный ресурс]. — URL: https://www.lamoda.ru</w:t>
      </w:r>
    </w:p>
    <w:p>
      <w:r>
        <w:br w:type="page"/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ПРИЛОЖЕНИЯ</w:t>
      </w:r>
    </w:p>
    <w:p>
      <w:pPr>
        <w:jc w:val="center"/>
        <w:spacing w:before="0" w:after="1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Приложение 1</w:t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Нормативно-правовые акты, регулирующие деятельность ООО «Купишуз»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Гражданский кодекс Российской Федерации (часть первая) от 30.11.1994 № 51-ФЗ (в ред. от 14.04.2023), регулирующий правовое положение юридических лиц, в том числе обществ с ограниченной ответственностью (статьи 48–65, 87–94), а также договоры купли-продажи, поставки и комиссии (часть вторая).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Налоговый кодекс Российской Федерации (часть первая) от 31.07.1998 № 146-ФЗ (в ред. от 25.12.2023) и (часть вторая) от 05.08.2000 № 117-ФЗ (в ред. от 23.03.2024), устанавливающие порядок налогообложения организаций, применяющих общую систему налогообложения.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Федеральный закон от 08.02.1998 № 14-ФЗ «Об обществах с ограниченной ответственностью» (в ред. от 04.08.2023), определяющий порядок создания, деятельности, реорганизации и ликвидации ООО.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Федеральный закон от 08.08.2001 № 129-ФЗ «О государственной регистрации юридических лиц и индивидуальных предпринимателей» (в ред. от 02.07.2023), регулирующий порядок государственной регистрации юридических лиц.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Закон РФ от 07.02.1992 № 2300-1 «О защите прав потребителей» (в ред. от 04.08.2023), регулирующий отношения между потребителями и продавцами при дистанционной продаже товаров.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Федеральный закон от 22.05.2003 № 54-ФЗ «О применении контрольно-кассовой техники при осуществлении расчётов в Российской Федерации» (в ред. от 04.08.2023).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Федеральный закон от 27.07.2006 № 152-ФЗ «О персональных данных» (в ред. от 06.02.2023), регулирующий обработку персональных данных клиентов интернет-магазина.</w:t>
      </w:r>
    </w:p>
    <w:p>
      <w:pPr>
        <w:ind w:firstLine="709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Федеральный закон от 26.12.2008 № 294-ФЗ «О защите прав юридических лиц и индивидуальных предпринимателей при осуществлении государственного контроля (надзора) и муниципального контроля» (в ред. от 25.12.2023).</w:t>
      </w:r>
    </w:p>
    <w:p>
      <w:pPr>
        <w:ind w:firstLine="709"/>
        <w:jc w:val="both"/>
        <w:spacing w:before="100" w:after="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Для деятельности по основному ОКВЭД 47.91.2 «Торговля розничная, осуществляемая непосредственно при помощи информационно-коммуникационной сети Интернет»:</w:t>
      </w:r>
    </w:p>
    <w:p>
      <w:pPr>
        <w:ind w:left="1417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Постановление Правительства РФ от 31.12.2020 № 2463 «Об утверждении Правил продажи товаров по договору розничной купли-продажи»;</w:t>
      </w:r>
    </w:p>
    <w:p>
      <w:pPr>
        <w:ind w:left="1417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Технический регламент Таможенного союза ТР ТС 017/2011 «О безопасности продукции лёгкой промышленности»;</w:t>
      </w:r>
    </w:p>
    <w:p>
      <w:pPr>
        <w:ind w:left="1417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Технический регламент Таможенного союза ТР ТС 007/2011 «О безопасности продукции, предназначенной для детей и подростков»;</w:t>
      </w:r>
    </w:p>
    <w:p>
      <w:pPr>
        <w:ind w:left="1417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Постановление Правительства РФ от 05.07.2019 № 860 об обязательной маркировке обувных товаров средствами идентификации (система «Честный ЗНАК»);</w:t>
      </w:r>
    </w:p>
    <w:p>
      <w:pPr>
        <w:ind w:left="1417"/>
        <w:jc w:val="both"/>
        <w:spacing w:before="0" w:after="0" w:line="360" w:lineRule="auto"/>
      </w:pPr>
      <w:r>
        <w:rPr>
          <w:rFonts w:ascii="Times New Roman" w:hAnsi="Times New Roman"/>
          <w:sz w:val="28"/>
        </w:rPr>
        <w:t>− ГОСТ Р 51303-2013 «Торговля. Термины и определения».</w:t>
      </w:r>
    </w:p>
    <w:p>
      <w:r>
        <w:br w:type="page"/>
      </w:r>
    </w:p>
    <w:p>
      <w:pPr>
        <w:jc w:val="center"/>
        <w:spacing w:before="0" w:after="1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Приложение 2</w:t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Организационная структура ООО «Купишуз»</w:t>
      </w:r>
    </w:p>
    <w:p>
      <w:pPr>
        <w:jc w:val="center"/>
        <w:spacing w:before="200" w:after="0" w:line="360" w:lineRule="auto"/>
      </w:pPr>
      <w:r>
        <w:rPr>
          <w:rFonts w:ascii="Times New Roman" w:hAnsi="Times New Roman"/>
          <w:b w:val="0"/>
          <w:sz w:val="24"/>
          <w:rFonts w:eastAsia="Times New Roman"/>
        </w:rPr>
        <w:t>Рисунок П2.1 – Организационная структура ООО «Купишуз»</w:t>
      </w:r>
    </w:p>
    <w:p>
      <w:r>
        <w:br w:type="page"/>
      </w:r>
    </w:p>
    <w:p>
      <w:pPr>
        <w:jc w:val="center"/>
        <w:spacing w:before="0" w:after="1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Приложение 3</w:t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План помещений ООО «Купишуз»</w:t>
      </w:r>
    </w:p>
    <w:p>
      <w:pPr>
        <w:jc w:val="center"/>
        <w:spacing w:before="200" w:after="0" w:line="360" w:lineRule="auto"/>
      </w:pPr>
      <w:r>
        <w:rPr>
          <w:rFonts w:ascii="Times New Roman" w:hAnsi="Times New Roman"/>
          <w:b w:val="0"/>
          <w:sz w:val="24"/>
          <w:rFonts w:eastAsia="Times New Roman"/>
        </w:rPr>
        <w:t>Рисунок П3.1 – План помещений: г. Москва, Дербеневская набережная, д. 7, стр. 22</w:t>
      </w:r>
    </w:p>
    <w:p>
      <w:r>
        <w:br w:type="page"/>
      </w:r>
    </w:p>
    <w:p>
      <w:pPr>
        <w:jc w:val="center"/>
        <w:spacing w:before="0" w:after="1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Приложение 4</w:t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Основные показатели финансово-хозяйственной деятельности ООО «Купишуз» за 2025–2026 гг.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Показатель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 мес. 2025 г.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12 мес. 2025 г.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6 мес. 2026 г.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Изменение 6 мес. 2026 / 6 мес. 2025, %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Выручка от реализации товаров и услуг, тыс.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4 850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9 720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6 120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26,2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Себестоимость, тыс.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3 710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7 450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4 680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26,1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Валовая прибыль, тыс.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1 140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2 270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1 440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26,3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Чистая прибыль, тыс. руб.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680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1 350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910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33,8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Рентабельность продаж,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14,0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13,9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14,9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+0,9 п.п.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Рентабельность активов, %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8,5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8,7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9,8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+1,3 п.п.</w:t>
            </w:r>
          </w:p>
        </w:tc>
      </w:tr>
      <w:tr>
        <w:tc>
          <w:tcPr>
            <w:tcW w:type="dxa" w:w="1938"/>
          </w:tcPr>
          <w:p>
            <w:pPr>
              <w:jc w:val="left"/>
            </w:pPr>
            <w:r>
              <w:rPr>
                <w:rFonts w:ascii="Times New Roman" w:hAnsi="Times New Roman"/>
                <w:sz w:val="22"/>
              </w:rPr>
              <w:t>Коэффициент текущей ликвидности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1,65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1,72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1,81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0,16</w:t>
            </w:r>
          </w:p>
        </w:tc>
      </w:tr>
    </w:tbl>
    <w:p>
      <w:pPr>
        <w:jc w:val="center"/>
        <w:spacing w:before="100" w:after="0" w:line="360" w:lineRule="auto"/>
      </w:pPr>
      <w:r>
        <w:rPr>
          <w:rFonts w:ascii="Times New Roman" w:hAnsi="Times New Roman"/>
          <w:b w:val="0"/>
          <w:sz w:val="24"/>
          <w:rFonts w:eastAsia="Times New Roman"/>
        </w:rPr>
        <w:t>Таблица П4.1 – Основные показатели финансово-хозяйственной деятельности организации за 2025–2026 гг.</w:t>
      </w:r>
    </w:p>
    <w:p>
      <w:r>
        <w:br w:type="page"/>
      </w:r>
    </w:p>
    <w:p>
      <w:pPr>
        <w:jc w:val="center"/>
        <w:spacing w:before="0" w:after="100" w:line="360" w:lineRule="auto"/>
      </w:pPr>
      <w:r>
        <w:rPr>
          <w:rFonts w:ascii="Times New Roman" w:hAnsi="Times New Roman"/>
          <w:b/>
          <w:sz w:val="28"/>
          <w:rFonts w:eastAsia="Times New Roman"/>
        </w:rPr>
        <w:t>Приложение 5</w:t>
      </w:r>
    </w:p>
    <w:p>
      <w:pPr>
        <w:jc w:val="center"/>
        <w:spacing w:before="0" w:after="2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  <w:t>Динамика выручки, чистой прибыли и структура затрат ООО «Купишуз» за 2025–2026 гг.</w:t>
      </w:r>
    </w:p>
    <w:p>
      <w:pPr>
        <w:jc w:val="center"/>
        <w:spacing w:before="200" w:after="0" w:line="360" w:lineRule="auto"/>
      </w:pPr>
      <w:r>
        <w:rPr>
          <w:rFonts w:ascii="Times New Roman" w:hAnsi="Times New Roman"/>
          <w:b w:val="0"/>
          <w:sz w:val="24"/>
          <w:rFonts w:eastAsia="Times New Roman"/>
        </w:rPr>
        <w:t>Рисунок П5.1 – Динамика выручки и чистой прибыли ООО «Купишуз» за 2025–2026 гг., тыс. руб.</w:t>
      </w:r>
    </w:p>
    <w:p>
      <w:pPr>
        <w:jc w:val="both"/>
        <w:spacing w:before="0" w:after="400" w:line="360" w:lineRule="auto"/>
      </w:pPr>
      <w:r>
        <w:rPr>
          <w:rFonts w:ascii="Times New Roman" w:hAnsi="Times New Roman"/>
          <w:b w:val="0"/>
          <w:sz w:val="28"/>
          <w:rFonts w:eastAsia="Times New Roman"/>
        </w:rPr>
      </w:r>
    </w:p>
    <w:p>
      <w:pPr>
        <w:jc w:val="center"/>
        <w:spacing w:before="200" w:after="0" w:line="360" w:lineRule="auto"/>
      </w:pPr>
      <w:r>
        <w:rPr>
          <w:rFonts w:ascii="Times New Roman" w:hAnsi="Times New Roman"/>
          <w:b w:val="0"/>
          <w:sz w:val="24"/>
          <w:rFonts w:eastAsia="Times New Roman"/>
        </w:rPr>
        <w:t>Рисунок П5.2 – Структура затрат ООО «Купишуз» за 12 месяцев 2026 г., %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