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6B" w:rsidRPr="00433A29" w:rsidRDefault="00590D6B" w:rsidP="00433A29">
      <w:pPr>
        <w:pStyle w:val="a4"/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433A29">
        <w:rPr>
          <w:rFonts w:ascii="Arial" w:hAnsi="Arial" w:cs="Arial"/>
          <w:b/>
          <w:bCs/>
          <w:sz w:val="26"/>
          <w:szCs w:val="26"/>
          <w:lang w:val="en-US"/>
        </w:rPr>
        <w:t>Agent-based models for latent liquidity and concave price impact</w:t>
      </w:r>
    </w:p>
    <w:p w:rsidR="00590D6B" w:rsidRPr="00433A29" w:rsidRDefault="00590D6B" w:rsidP="00433A29">
      <w:pPr>
        <w:pStyle w:val="a4"/>
        <w:spacing w:line="276" w:lineRule="auto"/>
        <w:jc w:val="center"/>
        <w:rPr>
          <w:rFonts w:ascii="Arial" w:hAnsi="Arial" w:cs="Arial"/>
          <w:sz w:val="26"/>
          <w:szCs w:val="26"/>
        </w:rPr>
      </w:pPr>
      <w:proofErr w:type="spellStart"/>
      <w:r w:rsidRPr="00433A29">
        <w:rPr>
          <w:rFonts w:ascii="Arial" w:hAnsi="Arial" w:cs="Arial"/>
          <w:sz w:val="26"/>
          <w:szCs w:val="26"/>
        </w:rPr>
        <w:t>Агент</w:t>
      </w:r>
      <w:r w:rsidR="008B2351" w:rsidRPr="00433A29">
        <w:rPr>
          <w:rFonts w:ascii="Arial" w:hAnsi="Arial" w:cs="Arial"/>
          <w:sz w:val="26"/>
          <w:szCs w:val="26"/>
        </w:rPr>
        <w:t>ные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модели для изучения скрытой ликвидности и влияние </w:t>
      </w:r>
      <w:r w:rsidR="00A3119C" w:rsidRPr="00433A29">
        <w:rPr>
          <w:rFonts w:ascii="Arial" w:hAnsi="Arial" w:cs="Arial"/>
          <w:sz w:val="26"/>
          <w:szCs w:val="26"/>
        </w:rPr>
        <w:br/>
      </w:r>
      <w:r w:rsidRPr="00433A29">
        <w:rPr>
          <w:rFonts w:ascii="Arial" w:hAnsi="Arial" w:cs="Arial"/>
          <w:sz w:val="26"/>
          <w:szCs w:val="26"/>
        </w:rPr>
        <w:t>вогнутой поверхности цен</w:t>
      </w:r>
    </w:p>
    <w:p w:rsidR="00A3119C" w:rsidRPr="00433A29" w:rsidRDefault="00A3119C" w:rsidP="00433A29">
      <w:pPr>
        <w:pStyle w:val="a4"/>
        <w:spacing w:line="276" w:lineRule="auto"/>
        <w:jc w:val="both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:rsidR="00590D6B" w:rsidRPr="00433A29" w:rsidRDefault="00590D6B" w:rsidP="00433A29">
      <w:pPr>
        <w:pStyle w:val="a4"/>
        <w:spacing w:line="276" w:lineRule="auto"/>
        <w:jc w:val="both"/>
        <w:rPr>
          <w:rFonts w:ascii="Arial" w:hAnsi="Arial" w:cs="Arial"/>
          <w:sz w:val="26"/>
          <w:szCs w:val="26"/>
          <w:lang w:val="en-US"/>
        </w:rPr>
      </w:pP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Авторы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 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статьи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 – </w:t>
      </w:r>
      <w:hyperlink r:id="rId6" w:history="1">
        <w:proofErr w:type="spellStart"/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>Iacopo</w:t>
        </w:r>
        <w:proofErr w:type="spellEnd"/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 xml:space="preserve"> </w:t>
        </w:r>
        <w:proofErr w:type="spellStart"/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>Mastromatteo</w:t>
        </w:r>
        <w:proofErr w:type="spellEnd"/>
      </w:hyperlink>
      <w:r w:rsidRPr="00433A29">
        <w:rPr>
          <w:rFonts w:ascii="Arial" w:hAnsi="Arial" w:cs="Arial"/>
          <w:sz w:val="26"/>
          <w:szCs w:val="26"/>
          <w:lang w:val="en-US"/>
        </w:rPr>
        <w:t xml:space="preserve">, </w:t>
      </w:r>
      <w:hyperlink r:id="rId7" w:history="1"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>Bence T ́</w:t>
        </w:r>
        <w:proofErr w:type="spellStart"/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>oth</w:t>
        </w:r>
        <w:proofErr w:type="spellEnd"/>
      </w:hyperlink>
      <w:r w:rsidRPr="00433A29">
        <w:rPr>
          <w:rFonts w:ascii="Arial" w:hAnsi="Arial" w:cs="Arial"/>
          <w:sz w:val="26"/>
          <w:szCs w:val="26"/>
          <w:lang w:val="en-US"/>
        </w:rPr>
        <w:t xml:space="preserve">, </w:t>
      </w:r>
      <w:hyperlink r:id="rId8" w:history="1"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 xml:space="preserve">Jean-Philippe </w:t>
        </w:r>
        <w:proofErr w:type="spellStart"/>
        <w:r w:rsidRPr="00433A29">
          <w:rPr>
            <w:rStyle w:val="a5"/>
            <w:rFonts w:ascii="Arial" w:hAnsi="Arial" w:cs="Arial"/>
            <w:sz w:val="26"/>
            <w:szCs w:val="26"/>
            <w:lang w:val="en-US"/>
          </w:rPr>
          <w:t>Bouchaud</w:t>
        </w:r>
        <w:proofErr w:type="spellEnd"/>
      </w:hyperlink>
      <w:r w:rsidRPr="00433A29">
        <w:rPr>
          <w:rFonts w:ascii="Arial" w:hAnsi="Arial" w:cs="Arial"/>
          <w:sz w:val="26"/>
          <w:szCs w:val="26"/>
          <w:lang w:val="en-US"/>
        </w:rPr>
        <w:t xml:space="preserve"> </w:t>
      </w:r>
    </w:p>
    <w:p w:rsidR="00A3119C" w:rsidRPr="00433A29" w:rsidRDefault="00A3119C" w:rsidP="00433A29">
      <w:pPr>
        <w:pStyle w:val="a4"/>
        <w:spacing w:line="276" w:lineRule="auto"/>
        <w:jc w:val="both"/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  <w:lang w:val="en-US"/>
        </w:rPr>
      </w:pPr>
    </w:p>
    <w:p w:rsidR="00351110" w:rsidRPr="00433A29" w:rsidRDefault="00351110" w:rsidP="00433A29">
      <w:pPr>
        <w:pStyle w:val="a4"/>
        <w:spacing w:line="276" w:lineRule="auto"/>
        <w:jc w:val="both"/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>(!) В данном абстракте будут отступления на – другие работы этих же авторов и других авторов, и на разъяснение некоторого материала.</w:t>
      </w:r>
      <w:r w:rsidR="00A64DB7" w:rsidRPr="00433A29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 xml:space="preserve"> </w:t>
      </w:r>
    </w:p>
    <w:p w:rsidR="00B617FD" w:rsidRPr="00433A29" w:rsidRDefault="00A64DB7" w:rsidP="00433A29">
      <w:pPr>
        <w:pStyle w:val="a4"/>
        <w:spacing w:line="276" w:lineRule="auto"/>
        <w:jc w:val="both"/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>(!)</w:t>
      </w:r>
      <w:r w:rsidR="00E56A8F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 xml:space="preserve"> </w:t>
      </w:r>
      <w:r w:rsidRPr="00433A29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>ордер</w:t>
      </w:r>
      <w:r w:rsidR="00636FDB" w:rsidRPr="00433A29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>=заявка</w:t>
      </w:r>
      <w:r w:rsidR="00FE0A73" w:rsidRPr="00433A29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 xml:space="preserve">, книга = книга </w:t>
      </w:r>
      <w:r w:rsidR="00E56A8F">
        <w:rPr>
          <w:rFonts w:ascii="Arial" w:hAnsi="Arial" w:cs="Arial"/>
          <w:i/>
          <w:iCs/>
          <w:color w:val="111111"/>
          <w:sz w:val="26"/>
          <w:szCs w:val="26"/>
          <w:shd w:val="clear" w:color="auto" w:fill="FFFFFF"/>
        </w:rPr>
        <w:t>заявок</w:t>
      </w:r>
    </w:p>
    <w:sdt>
      <w:sdtPr>
        <w:rPr>
          <w:rFonts w:ascii="Arial" w:hAnsi="Arial" w:cs="Arial"/>
          <w:sz w:val="26"/>
          <w:szCs w:val="26"/>
        </w:rPr>
        <w:id w:val="-29444164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002060"/>
          <w:lang w:eastAsia="en-US"/>
        </w:rPr>
      </w:sdtEndPr>
      <w:sdtContent>
        <w:p w:rsidR="00A3119C" w:rsidRPr="006F61B3" w:rsidRDefault="00A3119C" w:rsidP="00433A29">
          <w:pPr>
            <w:pStyle w:val="a8"/>
            <w:rPr>
              <w:rFonts w:ascii="Arial" w:hAnsi="Arial" w:cs="Arial"/>
              <w:color w:val="000000" w:themeColor="text1"/>
              <w:sz w:val="26"/>
              <w:szCs w:val="26"/>
            </w:rPr>
          </w:pPr>
          <w:r w:rsidRPr="006F61B3">
            <w:rPr>
              <w:rFonts w:ascii="Arial" w:hAnsi="Arial" w:cs="Arial"/>
              <w:color w:val="000000" w:themeColor="text1"/>
              <w:sz w:val="26"/>
              <w:szCs w:val="26"/>
            </w:rPr>
            <w:t>Содержание абстракта</w:t>
          </w:r>
        </w:p>
        <w:p w:rsidR="00D21B69" w:rsidRPr="009C6A6C" w:rsidRDefault="00A3119C" w:rsidP="00433A29">
          <w:pPr>
            <w:pStyle w:val="1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noProof/>
              <w:color w:val="002060"/>
              <w:sz w:val="26"/>
              <w:szCs w:val="26"/>
              <w:lang w:eastAsia="ru-RU"/>
            </w:rPr>
          </w:pPr>
          <w:r w:rsidRPr="009C6A6C">
            <w:rPr>
              <w:rFonts w:ascii="Arial" w:hAnsi="Arial" w:cs="Arial"/>
              <w:b w:val="0"/>
              <w:bCs w:val="0"/>
              <w:color w:val="002060"/>
              <w:sz w:val="26"/>
              <w:szCs w:val="26"/>
            </w:rPr>
            <w:fldChar w:fldCharType="begin"/>
          </w:r>
          <w:r w:rsidRPr="009C6A6C">
            <w:rPr>
              <w:rFonts w:ascii="Arial" w:hAnsi="Arial" w:cs="Arial"/>
              <w:color w:val="002060"/>
              <w:sz w:val="26"/>
              <w:szCs w:val="26"/>
            </w:rPr>
            <w:instrText>TOC \o "1-3" \h \z \u</w:instrText>
          </w:r>
          <w:r w:rsidRPr="009C6A6C">
            <w:rPr>
              <w:rFonts w:ascii="Arial" w:hAnsi="Arial" w:cs="Arial"/>
              <w:b w:val="0"/>
              <w:bCs w:val="0"/>
              <w:color w:val="002060"/>
              <w:sz w:val="26"/>
              <w:szCs w:val="26"/>
            </w:rPr>
            <w:fldChar w:fldCharType="separate"/>
          </w:r>
          <w:hyperlink w:anchor="_Toc28466235" w:history="1">
            <w:r w:rsidR="00D21B69"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</w:rPr>
              <w:t>Краткое содерж</w:t>
            </w:r>
            <w:r w:rsidR="00D21B69"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</w:rPr>
              <w:t>а</w:t>
            </w:r>
            <w:r w:rsidR="00D21B69"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</w:rPr>
              <w:t>ние</w:t>
            </w:r>
            <w:r w:rsidR="00D21B69" w:rsidRPr="009C6A6C">
              <w:rPr>
                <w:rStyle w:val="a5"/>
                <w:rFonts w:ascii="Arial" w:hAnsi="Arial" w:cs="Arial"/>
                <w:noProof/>
                <w:color w:val="002060"/>
                <w:sz w:val="26"/>
                <w:szCs w:val="26"/>
                <w:shd w:val="clear" w:color="auto" w:fill="FFFFFF"/>
              </w:rPr>
              <w:t xml:space="preserve"> всей статьи</w:t>
            </w:r>
            <w:r w:rsidR="00D21B69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ab/>
            </w:r>
            <w:r w:rsidR="00D21B69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="00D21B69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instrText xml:space="preserve"> PAGEREF _Toc28466235 \h </w:instrText>
            </w:r>
            <w:r w:rsidR="00D21B69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</w:r>
            <w:r w:rsidR="00D21B69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>2</w:t>
            </w:r>
            <w:r w:rsidR="00D21B69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2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i w:val="0"/>
              <w:iCs w:val="0"/>
              <w:noProof/>
              <w:color w:val="002060"/>
              <w:sz w:val="26"/>
              <w:szCs w:val="26"/>
              <w:lang w:eastAsia="ru-RU"/>
            </w:rPr>
          </w:pPr>
          <w:hyperlink w:anchor="_Toc28466236" w:history="1">
            <w:r w:rsidRPr="009C6A6C">
              <w:rPr>
                <w:rStyle w:val="a5"/>
                <w:rFonts w:ascii="Arial" w:hAnsi="Arial" w:cs="Arial"/>
                <w:i w:val="0"/>
                <w:iCs w:val="0"/>
                <w:noProof/>
                <w:color w:val="002060"/>
                <w:sz w:val="26"/>
                <w:szCs w:val="26"/>
              </w:rPr>
              <w:t>О чем эта статья?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instrText xml:space="preserve"> PAGEREF _Toc28466236 \h </w:instrTex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>2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2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i w:val="0"/>
              <w:iCs w:val="0"/>
              <w:noProof/>
              <w:color w:val="002060"/>
              <w:sz w:val="26"/>
              <w:szCs w:val="26"/>
              <w:lang w:eastAsia="ru-RU"/>
            </w:rPr>
          </w:pPr>
          <w:hyperlink w:anchor="_Toc28466237" w:history="1">
            <w:r w:rsidRPr="009C6A6C">
              <w:rPr>
                <w:rStyle w:val="a5"/>
                <w:rFonts w:ascii="Arial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</w:rPr>
              <w:t>Критика основного подхода (агентное моделирование) в статье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instrText xml:space="preserve"> PAGEREF _Toc28466237 \h </w:instrTex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>3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2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i w:val="0"/>
              <w:iCs w:val="0"/>
              <w:noProof/>
              <w:color w:val="002060"/>
              <w:sz w:val="26"/>
              <w:szCs w:val="26"/>
              <w:lang w:eastAsia="ru-RU"/>
            </w:rPr>
          </w:pPr>
          <w:hyperlink w:anchor="_Toc28466238" w:history="1">
            <w:r w:rsidRPr="009C6A6C">
              <w:rPr>
                <w:rStyle w:val="a5"/>
                <w:rFonts w:ascii="Arial" w:eastAsia="Times New Roman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 xml:space="preserve">Краткий </w:t>
            </w:r>
            <w:r w:rsidRPr="009C6A6C">
              <w:rPr>
                <w:rStyle w:val="a5"/>
                <w:rFonts w:ascii="Arial" w:eastAsia="Times New Roman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  <w:lang w:val="en-US" w:eastAsia="ru-RU"/>
              </w:rPr>
              <w:t>summary</w:t>
            </w:r>
            <w:r w:rsidRPr="009C6A6C">
              <w:rPr>
                <w:rStyle w:val="a5"/>
                <w:rFonts w:ascii="Arial" w:eastAsia="Times New Roman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 xml:space="preserve"> глав</w:t>
            </w:r>
            <w:r w:rsidRPr="009C6A6C">
              <w:rPr>
                <w:rStyle w:val="a5"/>
                <w:rFonts w:ascii="Arial" w:eastAsia="Times New Roman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  <w:lang w:val="en-US" w:eastAsia="ru-RU"/>
              </w:rPr>
              <w:t>: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instrText xml:space="preserve"> PAGEREF _Toc28466238 \h </w:instrTex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>3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1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noProof/>
              <w:color w:val="002060"/>
              <w:sz w:val="26"/>
              <w:szCs w:val="26"/>
              <w:lang w:eastAsia="ru-RU"/>
            </w:rPr>
          </w:pPr>
          <w:hyperlink w:anchor="_Toc28466239" w:history="1">
            <w:r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 xml:space="preserve">Более </w:t>
            </w:r>
            <w:r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>п</w:t>
            </w:r>
            <w:r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>одробное описание главы 1, 2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instrText xml:space="preserve"> PAGEREF _Toc28466239 \h </w:instrTex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>5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2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i w:val="0"/>
              <w:iCs w:val="0"/>
              <w:noProof/>
              <w:color w:val="002060"/>
              <w:sz w:val="26"/>
              <w:szCs w:val="26"/>
              <w:lang w:eastAsia="ru-RU"/>
            </w:rPr>
          </w:pPr>
          <w:hyperlink w:anchor="_Toc28466240" w:history="1">
            <w:r w:rsidRPr="009C6A6C">
              <w:rPr>
                <w:rStyle w:val="a5"/>
                <w:rFonts w:ascii="Arial" w:eastAsia="Times New Roman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>Глава 1 (вступление)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instrText xml:space="preserve"> PAGEREF _Toc28466240 \h </w:instrTex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>5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2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i w:val="0"/>
              <w:iCs w:val="0"/>
              <w:noProof/>
              <w:color w:val="002060"/>
              <w:sz w:val="26"/>
              <w:szCs w:val="26"/>
              <w:lang w:eastAsia="ru-RU"/>
            </w:rPr>
          </w:pPr>
          <w:hyperlink w:anchor="_Toc28466241" w:history="1">
            <w:r w:rsidRPr="009C6A6C">
              <w:rPr>
                <w:rStyle w:val="a5"/>
                <w:rFonts w:ascii="Arial" w:eastAsia="Times New Roman" w:hAnsi="Arial" w:cs="Arial"/>
                <w:i w:val="0"/>
                <w:iCs w:val="0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>Глава 2 (Динамическая модель скрытой ликвидности)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instrText xml:space="preserve"> PAGEREF _Toc28466241 \h </w:instrTex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t>8</w:t>
            </w:r>
            <w:r w:rsidRPr="009C6A6C">
              <w:rPr>
                <w:rFonts w:ascii="Arial" w:hAnsi="Arial" w:cs="Arial"/>
                <w:i w:val="0"/>
                <w:iCs w:val="0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3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noProof/>
              <w:color w:val="002060"/>
              <w:sz w:val="26"/>
              <w:szCs w:val="26"/>
              <w:lang w:eastAsia="ru-RU"/>
            </w:rPr>
          </w:pPr>
          <w:hyperlink w:anchor="_Toc28466242" w:history="1">
            <w:r w:rsidRPr="009C6A6C">
              <w:rPr>
                <w:rStyle w:val="a5"/>
                <w:rFonts w:ascii="Arial" w:hAnsi="Arial" w:cs="Arial"/>
                <w:noProof/>
                <w:color w:val="002060"/>
                <w:sz w:val="26"/>
                <w:szCs w:val="26"/>
                <w:lang w:val="en-US" w:eastAsia="ru-RU"/>
              </w:rPr>
              <w:t xml:space="preserve">A. </w:t>
            </w:r>
            <w:r w:rsidRPr="009C6A6C">
              <w:rPr>
                <w:rStyle w:val="a5"/>
                <w:rFonts w:ascii="Arial" w:hAnsi="Arial" w:cs="Arial"/>
                <w:noProof/>
                <w:color w:val="002060"/>
                <w:sz w:val="26"/>
                <w:szCs w:val="26"/>
                <w:lang w:eastAsia="ru-RU"/>
              </w:rPr>
              <w:t>Основные компоненты модели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instrText xml:space="preserve"> PAGEREF _Toc28466242 \h </w:instrTex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>8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3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noProof/>
              <w:color w:val="002060"/>
              <w:sz w:val="26"/>
              <w:szCs w:val="26"/>
              <w:lang w:eastAsia="ru-RU"/>
            </w:rPr>
          </w:pPr>
          <w:hyperlink w:anchor="_Toc28466243" w:history="1">
            <w:r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  <w:lang w:val="en-US" w:eastAsia="ru-RU"/>
              </w:rPr>
              <w:t>B</w:t>
            </w:r>
            <w:r w:rsidRPr="009C6A6C">
              <w:rPr>
                <w:rStyle w:val="a5"/>
                <w:rFonts w:ascii="Arial" w:eastAsia="Times New Roman" w:hAnsi="Arial" w:cs="Arial"/>
                <w:noProof/>
                <w:color w:val="002060"/>
                <w:sz w:val="26"/>
                <w:szCs w:val="26"/>
                <w:shd w:val="clear" w:color="auto" w:fill="FFFFFF"/>
                <w:lang w:eastAsia="ru-RU"/>
              </w:rPr>
              <w:t>. Супер-диффузия против суб-диффузии цен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instrText xml:space="preserve"> PAGEREF _Toc28466243 \h </w:instrTex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>9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3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noProof/>
              <w:color w:val="002060"/>
              <w:sz w:val="26"/>
              <w:szCs w:val="26"/>
              <w:lang w:eastAsia="ru-RU"/>
            </w:rPr>
          </w:pPr>
          <w:hyperlink w:anchor="_Toc28466244" w:history="1">
            <w:r w:rsidRPr="009C6A6C">
              <w:rPr>
                <w:rStyle w:val="a5"/>
                <w:rFonts w:ascii="Arial" w:hAnsi="Arial" w:cs="Arial"/>
                <w:noProof/>
                <w:color w:val="002060"/>
                <w:sz w:val="26"/>
                <w:szCs w:val="26"/>
              </w:rPr>
              <w:t>С. Диффузные цены и эффективность рынка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instrText xml:space="preserve"> PAGEREF _Toc28466244 \h </w:instrTex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>11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D21B69" w:rsidRPr="009C6A6C" w:rsidRDefault="00D21B69" w:rsidP="00433A29">
          <w:pPr>
            <w:pStyle w:val="31"/>
            <w:tabs>
              <w:tab w:val="right" w:leader="dot" w:pos="9339"/>
            </w:tabs>
            <w:spacing w:line="276" w:lineRule="auto"/>
            <w:rPr>
              <w:rFonts w:ascii="Arial" w:eastAsiaTheme="minorEastAsia" w:hAnsi="Arial" w:cs="Arial"/>
              <w:noProof/>
              <w:color w:val="002060"/>
              <w:sz w:val="26"/>
              <w:szCs w:val="26"/>
              <w:lang w:eastAsia="ru-RU"/>
            </w:rPr>
          </w:pPr>
          <w:hyperlink w:anchor="_Toc28466245" w:history="1">
            <w:r w:rsidRPr="009C6A6C">
              <w:rPr>
                <w:rStyle w:val="a5"/>
                <w:rFonts w:ascii="Arial" w:hAnsi="Arial" w:cs="Arial"/>
                <w:noProof/>
                <w:color w:val="002060"/>
                <w:sz w:val="26"/>
                <w:szCs w:val="26"/>
                <w:lang w:val="en-US"/>
              </w:rPr>
              <w:t>D</w:t>
            </w:r>
            <w:r w:rsidRPr="009C6A6C">
              <w:rPr>
                <w:rStyle w:val="a5"/>
                <w:rFonts w:ascii="Arial" w:hAnsi="Arial" w:cs="Arial"/>
                <w:noProof/>
                <w:color w:val="002060"/>
                <w:sz w:val="26"/>
                <w:szCs w:val="26"/>
              </w:rPr>
              <w:t>. Распределение объема торгов в лучшем случае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ab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begin"/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instrText xml:space="preserve"> PAGEREF _Toc28466245 \h </w:instrTex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separate"/>
            </w:r>
            <w:r w:rsidR="00C82218"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t>12</w:t>
            </w:r>
            <w:r w:rsidRPr="009C6A6C">
              <w:rPr>
                <w:rFonts w:ascii="Arial" w:hAnsi="Arial" w:cs="Arial"/>
                <w:noProof/>
                <w:webHidden/>
                <w:color w:val="002060"/>
                <w:sz w:val="26"/>
                <w:szCs w:val="26"/>
              </w:rPr>
              <w:fldChar w:fldCharType="end"/>
            </w:r>
          </w:hyperlink>
        </w:p>
        <w:p w:rsidR="00A3119C" w:rsidRPr="009C6A6C" w:rsidRDefault="00A3119C" w:rsidP="00433A29">
          <w:pPr>
            <w:spacing w:line="276" w:lineRule="auto"/>
            <w:rPr>
              <w:rFonts w:ascii="Arial" w:hAnsi="Arial" w:cs="Arial"/>
              <w:color w:val="002060"/>
              <w:sz w:val="26"/>
              <w:szCs w:val="26"/>
            </w:rPr>
          </w:pPr>
          <w:r w:rsidRPr="009C6A6C">
            <w:rPr>
              <w:rFonts w:ascii="Arial" w:hAnsi="Arial" w:cs="Arial"/>
              <w:b/>
              <w:bCs/>
              <w:noProof/>
              <w:color w:val="002060"/>
              <w:sz w:val="26"/>
              <w:szCs w:val="26"/>
            </w:rPr>
            <w:fldChar w:fldCharType="end"/>
          </w:r>
        </w:p>
      </w:sdtContent>
    </w:sdt>
    <w:p w:rsidR="00A3119C" w:rsidRPr="00433A29" w:rsidRDefault="00A3119C" w:rsidP="00433A29">
      <w:pPr>
        <w:pStyle w:val="a4"/>
        <w:spacing w:line="276" w:lineRule="auto"/>
        <w:jc w:val="both"/>
        <w:rPr>
          <w:rFonts w:ascii="Arial" w:hAnsi="Arial" w:cs="Arial"/>
          <w:i/>
          <w:iCs/>
          <w:color w:val="111111"/>
          <w:sz w:val="22"/>
          <w:szCs w:val="22"/>
          <w:shd w:val="clear" w:color="auto" w:fill="FFFFFF"/>
        </w:rPr>
      </w:pPr>
    </w:p>
    <w:p w:rsidR="00800110" w:rsidRPr="00433A29" w:rsidRDefault="00800110" w:rsidP="00433A29">
      <w:pPr>
        <w:spacing w:line="276" w:lineRule="auto"/>
        <w:rPr>
          <w:rFonts w:ascii="Arial" w:eastAsia="Times New Roman" w:hAnsi="Arial" w:cs="Arial"/>
          <w:color w:val="111111"/>
          <w:sz w:val="22"/>
          <w:szCs w:val="22"/>
          <w:shd w:val="clear" w:color="auto" w:fill="FFFFFF"/>
          <w:lang w:eastAsia="ru-RU"/>
        </w:rPr>
      </w:pPr>
      <w:r w:rsidRPr="00433A29">
        <w:rPr>
          <w:rFonts w:ascii="Arial" w:hAnsi="Arial" w:cs="Arial"/>
          <w:color w:val="111111"/>
          <w:sz w:val="22"/>
          <w:szCs w:val="22"/>
          <w:shd w:val="clear" w:color="auto" w:fill="FFFFFF"/>
        </w:rPr>
        <w:br w:type="page"/>
      </w:r>
    </w:p>
    <w:p w:rsidR="00686238" w:rsidRPr="002B73CB" w:rsidRDefault="00686238" w:rsidP="00433A29">
      <w:pPr>
        <w:pStyle w:val="1"/>
        <w:spacing w:line="276" w:lineRule="auto"/>
        <w:rPr>
          <w:rFonts w:ascii="Arial" w:hAnsi="Arial" w:cs="Arial"/>
          <w:color w:val="002060"/>
          <w:sz w:val="26"/>
          <w:szCs w:val="26"/>
          <w:shd w:val="clear" w:color="auto" w:fill="FFFFFF"/>
        </w:rPr>
      </w:pPr>
      <w:bookmarkStart w:id="0" w:name="_Toc28466235"/>
      <w:r w:rsidRPr="002B73CB">
        <w:rPr>
          <w:rFonts w:ascii="Arial" w:eastAsia="Times New Roman" w:hAnsi="Arial" w:cs="Arial"/>
          <w:color w:val="002060"/>
          <w:sz w:val="26"/>
          <w:szCs w:val="26"/>
          <w:shd w:val="clear" w:color="auto" w:fill="FFFFFF"/>
        </w:rPr>
        <w:lastRenderedPageBreak/>
        <w:t>Краткое содержание</w:t>
      </w:r>
      <w:r w:rsidR="00800110" w:rsidRPr="002B73CB">
        <w:rPr>
          <w:rFonts w:ascii="Arial" w:hAnsi="Arial" w:cs="Arial"/>
          <w:color w:val="002060"/>
          <w:sz w:val="26"/>
          <w:szCs w:val="26"/>
          <w:shd w:val="clear" w:color="auto" w:fill="FFFFFF"/>
        </w:rPr>
        <w:t xml:space="preserve"> всей статьи</w:t>
      </w:r>
      <w:bookmarkEnd w:id="0"/>
    </w:p>
    <w:p w:rsidR="00800110" w:rsidRPr="002B73CB" w:rsidRDefault="00800110" w:rsidP="00433A29">
      <w:pPr>
        <w:spacing w:line="276" w:lineRule="auto"/>
        <w:rPr>
          <w:rFonts w:ascii="Arial" w:hAnsi="Arial" w:cs="Arial"/>
          <w:color w:val="002060"/>
          <w:sz w:val="26"/>
          <w:szCs w:val="26"/>
        </w:rPr>
      </w:pPr>
    </w:p>
    <w:p w:rsidR="00800110" w:rsidRPr="002B73CB" w:rsidRDefault="00800110" w:rsidP="00433A29">
      <w:pPr>
        <w:pStyle w:val="2"/>
        <w:spacing w:line="276" w:lineRule="auto"/>
        <w:rPr>
          <w:rFonts w:ascii="Arial" w:hAnsi="Arial" w:cs="Arial"/>
          <w:color w:val="002060"/>
        </w:rPr>
      </w:pPr>
      <w:bookmarkStart w:id="1" w:name="_Toc28466236"/>
      <w:r w:rsidRPr="002B73CB">
        <w:rPr>
          <w:rFonts w:ascii="Arial" w:hAnsi="Arial" w:cs="Arial"/>
          <w:color w:val="002060"/>
        </w:rPr>
        <w:t>О чем эта статья?</w:t>
      </w:r>
      <w:bookmarkEnd w:id="1"/>
    </w:p>
    <w:p w:rsidR="00800110" w:rsidRPr="00433A29" w:rsidRDefault="00800110" w:rsidP="00433A29">
      <w:pPr>
        <w:spacing w:line="276" w:lineRule="auto"/>
        <w:rPr>
          <w:rFonts w:ascii="Arial" w:hAnsi="Arial" w:cs="Arial"/>
          <w:sz w:val="26"/>
          <w:szCs w:val="26"/>
        </w:rPr>
      </w:pPr>
    </w:p>
    <w:p w:rsidR="008B2351" w:rsidRPr="00433A29" w:rsidRDefault="008B2351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Фокус статьи – это модифицированная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агентная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модель. Что такое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агентное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(имитационное) моделирование? метод имитационного моделирования исслед</w:t>
      </w:r>
      <w:r w:rsid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ует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поведение децентрализованных агентов и то, как такое поведение определяет поведение всей системы в целом.</w:t>
      </w:r>
    </w:p>
    <w:p w:rsidR="008B2351" w:rsidRPr="00433A29" w:rsidRDefault="008B2351" w:rsidP="00433A29">
      <w:pPr>
        <w:spacing w:line="276" w:lineRule="auto"/>
        <w:jc w:val="center"/>
        <w:rPr>
          <w:rFonts w:ascii="Arial" w:eastAsia="Times New Roman" w:hAnsi="Arial" w:cs="Arial"/>
          <w:sz w:val="26"/>
          <w:szCs w:val="26"/>
          <w:lang w:eastAsia="ru-RU"/>
        </w:rPr>
      </w:pPr>
      <w:r w:rsidRPr="00433A29">
        <w:rPr>
          <w:rFonts w:ascii="Arial" w:eastAsia="Times New Roman" w:hAnsi="Arial" w:cs="Arial"/>
          <w:sz w:val="26"/>
          <w:szCs w:val="26"/>
          <w:lang w:eastAsia="ru-RU"/>
        </w:rPr>
        <w:fldChar w:fldCharType="begin"/>
      </w:r>
      <w:r w:rsidRPr="00433A29">
        <w:rPr>
          <w:rFonts w:ascii="Arial" w:eastAsia="Times New Roman" w:hAnsi="Arial" w:cs="Arial"/>
          <w:sz w:val="26"/>
          <w:szCs w:val="26"/>
          <w:lang w:eastAsia="ru-RU"/>
        </w:rPr>
        <w:instrText xml:space="preserve"> INCLUDEPICTURE "/var/folders/h_/m8nk9w9x2pg2r41ssrqltw5m0000gn/T/com.microsoft.Word/WebArchiveCopyPasteTempFiles/In-agent-based-modelling-the-entities-of-the-system-are-represented-explicit-and.png" \* MERGEFORMATINET </w:instrText>
      </w:r>
      <w:r w:rsidRPr="00433A29">
        <w:rPr>
          <w:rFonts w:ascii="Arial" w:eastAsia="Times New Roman" w:hAnsi="Arial" w:cs="Arial"/>
          <w:sz w:val="26"/>
          <w:szCs w:val="26"/>
          <w:lang w:eastAsia="ru-RU"/>
        </w:rPr>
        <w:fldChar w:fldCharType="separate"/>
      </w:r>
      <w:r w:rsidRPr="00433A29">
        <w:rPr>
          <w:rFonts w:ascii="Arial" w:eastAsia="Times New Roman" w:hAnsi="Arial" w:cs="Arial"/>
          <w:noProof/>
          <w:sz w:val="26"/>
          <w:szCs w:val="26"/>
          <w:lang w:eastAsia="ru-RU"/>
        </w:rPr>
        <w:drawing>
          <wp:inline distT="0" distB="0" distL="0" distR="0">
            <wp:extent cx="3091992" cy="3306465"/>
            <wp:effectExtent l="0" t="0" r="0" b="0"/>
            <wp:docPr id="2" name="Рисунок 2" descr="Image result for что такое агентное модел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что такое агентное моделиров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40" cy="33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A29">
        <w:rPr>
          <w:rFonts w:ascii="Arial" w:eastAsia="Times New Roman" w:hAnsi="Arial" w:cs="Arial"/>
          <w:sz w:val="26"/>
          <w:szCs w:val="26"/>
          <w:lang w:eastAsia="ru-RU"/>
        </w:rPr>
        <w:fldChar w:fldCharType="end"/>
      </w:r>
    </w:p>
    <w:p w:rsidR="008B2351" w:rsidRPr="00433A29" w:rsidRDefault="008B2351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010792" w:rsidRPr="00433A29" w:rsidRDefault="00590D6B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Данная статья является продолжением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к модели "ɛ-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intelligence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"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T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ó</w:t>
      </w:r>
      <w:proofErr w:type="spellStart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th</w:t>
      </w:r>
      <w:proofErr w:type="spellEnd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et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al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(2011), которая была предложена в качестве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фреймворка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для понимания квадратичной зависимости влияния мета-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ордеров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объем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сделок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финансовых рынках. </w:t>
      </w:r>
      <w:r w:rsidR="008B2351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(мета-ордер – очень крупный ордер, принадлежащий, как правило, крупным игрокам.)</w:t>
      </w:r>
    </w:p>
    <w:p w:rsidR="00485E3D" w:rsidRPr="00433A29" w:rsidRDefault="0068623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Основная идея заключается в том, что большая часть ежедневной ликвидности является "</w:t>
      </w:r>
      <w:r w:rsidR="00590D6B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скрытой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" и к тому же линейно исчезает вокруг текущей цены, как следствие диффузии самой цены. </w:t>
      </w:r>
      <w:r w:rsidR="0001079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еализация </w:t>
      </w:r>
      <w:r w:rsidR="0001079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упомянутой выше (модели "ɛ-</w:t>
      </w:r>
      <w:r w:rsidR="0001079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intelligence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”</w:t>
      </w:r>
      <w:r w:rsidR="0001079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)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была подвергнута критике как нереалистичная, в частности потому, что 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Intelligence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использовался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для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рыночны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х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заявок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в то время как лимитные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заявки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были пассивными и случайными.</w:t>
      </w:r>
    </w:p>
    <w:p w:rsidR="00DE1BE2" w:rsidRPr="00433A29" w:rsidRDefault="0068623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 данной 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статье изучаются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различные альтернативные спецификации модели, например, позволяя лимитным </w:t>
      </w:r>
      <w:proofErr w:type="spellStart"/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заявкам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ам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реагировать на поток ордеров или изменяя протоколы исполнения. По большому счету, исследование</w:t>
      </w:r>
      <w:r w:rsidR="00485E3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 статье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сильно поддерживает идею о том, что закон о влиянии квадратного корня является очень общим и прочным свойством, требующим 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малого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количества 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составляющих для надежного результата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</w:p>
    <w:p w:rsidR="00DE1BE2" w:rsidRPr="00433A29" w:rsidRDefault="00DE1BE2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lastRenderedPageBreak/>
        <w:t>Также в этой статье показывается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что переход от </w:t>
      </w:r>
      <w:proofErr w:type="spellStart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супердиффузии</w:t>
      </w:r>
      <w:proofErr w:type="spellEnd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к </w:t>
      </w:r>
      <w:proofErr w:type="spellStart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субдиффузии</w:t>
      </w:r>
      <w:proofErr w:type="spellEnd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о котором сообщалось в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"ɛ-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intelligence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" модели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на самом деле является </w:t>
      </w:r>
      <w:proofErr w:type="spellStart"/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кроссовером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(перекрестным)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 чтобы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привести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модель 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к подлинному фазовому переходу,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оригинальн</w:t>
      </w:r>
      <w:r w:rsidR="00D252DB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ую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модель нужно лишь слегка </w:t>
      </w:r>
      <w:r w:rsidR="00D252DB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видо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изменить</w:t>
      </w:r>
      <w:r w:rsidR="0068623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</w:p>
    <w:p w:rsidR="00686238" w:rsidRPr="00433A29" w:rsidRDefault="0068623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Наконец, 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 статье п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редлагае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общ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теоретическ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основ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для понимания того, как нелинейное воздействие может проявляться даже в том п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ределе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где исчезает смещение в потоке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заявок</w:t>
      </w:r>
      <w:r w:rsidR="00DE1BE2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</w:p>
    <w:p w:rsidR="00B617FD" w:rsidRPr="00433A29" w:rsidRDefault="00B617FD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B617FD" w:rsidRPr="00C5094A" w:rsidRDefault="00B617FD" w:rsidP="00433A29">
      <w:pPr>
        <w:pStyle w:val="2"/>
        <w:spacing w:line="276" w:lineRule="auto"/>
        <w:rPr>
          <w:rFonts w:ascii="Arial" w:hAnsi="Arial" w:cs="Arial"/>
          <w:color w:val="002060"/>
          <w:shd w:val="clear" w:color="auto" w:fill="FFFFFF"/>
        </w:rPr>
      </w:pPr>
      <w:bookmarkStart w:id="2" w:name="_Toc28466237"/>
      <w:r w:rsidRPr="00C5094A">
        <w:rPr>
          <w:rFonts w:ascii="Arial" w:hAnsi="Arial" w:cs="Arial"/>
          <w:color w:val="002060"/>
          <w:shd w:val="clear" w:color="auto" w:fill="FFFFFF"/>
        </w:rPr>
        <w:t>Критика основного подхода</w:t>
      </w:r>
      <w:r w:rsidR="00800110" w:rsidRPr="00C5094A">
        <w:rPr>
          <w:rFonts w:ascii="Arial" w:hAnsi="Arial" w:cs="Arial"/>
          <w:color w:val="002060"/>
          <w:shd w:val="clear" w:color="auto" w:fill="FFFFFF"/>
        </w:rPr>
        <w:t xml:space="preserve"> (</w:t>
      </w:r>
      <w:proofErr w:type="spellStart"/>
      <w:r w:rsidR="00800110" w:rsidRPr="00C5094A">
        <w:rPr>
          <w:rFonts w:ascii="Arial" w:hAnsi="Arial" w:cs="Arial"/>
          <w:color w:val="002060"/>
          <w:shd w:val="clear" w:color="auto" w:fill="FFFFFF"/>
        </w:rPr>
        <w:t>агентное</w:t>
      </w:r>
      <w:proofErr w:type="spellEnd"/>
      <w:r w:rsidR="00800110" w:rsidRPr="00C5094A">
        <w:rPr>
          <w:rFonts w:ascii="Arial" w:hAnsi="Arial" w:cs="Arial"/>
          <w:color w:val="002060"/>
          <w:shd w:val="clear" w:color="auto" w:fill="FFFFFF"/>
        </w:rPr>
        <w:t xml:space="preserve"> моделирование)</w:t>
      </w:r>
      <w:r w:rsidRPr="00C5094A">
        <w:rPr>
          <w:rFonts w:ascii="Arial" w:hAnsi="Arial" w:cs="Arial"/>
          <w:color w:val="002060"/>
          <w:shd w:val="clear" w:color="auto" w:fill="FFFFFF"/>
        </w:rPr>
        <w:t xml:space="preserve"> в статье</w:t>
      </w:r>
      <w:bookmarkEnd w:id="2"/>
    </w:p>
    <w:p w:rsidR="00B617FD" w:rsidRPr="00433A29" w:rsidRDefault="00800110" w:rsidP="00433A29">
      <w:pPr>
        <w:pStyle w:val="a4"/>
        <w:spacing w:line="276" w:lineRule="auto"/>
        <w:ind w:firstLine="708"/>
        <w:jc w:val="both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По мнению многих экспертов, исследователей и экономистов, </w:t>
      </w:r>
      <w:proofErr w:type="spellStart"/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а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гентное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моделирование часто считается неспособным делать выводы о реальном мире (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>Gr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ü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>ne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-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>Yanoff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, 2009,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Leombruni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and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Richiardi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, 2005). Согласно этой точке зрения, этот метод может быть только инструментом для </w:t>
      </w:r>
      <w:r w:rsidR="00B617FD" w:rsidRPr="00433A29">
        <w:rPr>
          <w:rFonts w:ascii="Arial" w:hAnsi="Arial" w:cs="Arial"/>
          <w:color w:val="111111"/>
          <w:sz w:val="26"/>
          <w:szCs w:val="26"/>
          <w:u w:val="single"/>
          <w:shd w:val="clear" w:color="auto" w:fill="FFFFFF"/>
        </w:rPr>
        <w:t>теоретизирования.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В данной же работе речь идет не о теории, а о практическом применении для изучения реального объема сделок на рынке.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Агентное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моделирование не может способствовать пониманию реального мира и поэтому должна ограничиваться направлением теоретических интересов.</w:t>
      </w:r>
      <w:r w:rsidR="00B617FD" w:rsidRPr="00433A29">
        <w:rPr>
          <w:rFonts w:ascii="Arial" w:hAnsi="Arial" w:cs="Arial"/>
          <w:sz w:val="26"/>
          <w:szCs w:val="26"/>
        </w:rPr>
        <w:t xml:space="preserve"> 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Хотя нельзя отрицать, что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агентное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моделирование 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в действительности </w:t>
      </w:r>
      <w:r w:rsidR="006F61B3">
        <w:rPr>
          <w:rFonts w:ascii="Arial" w:hAnsi="Arial" w:cs="Arial"/>
          <w:color w:val="111111"/>
          <w:sz w:val="26"/>
          <w:szCs w:val="26"/>
          <w:shd w:val="clear" w:color="auto" w:fill="FFFFFF"/>
        </w:rPr>
        <w:t>не уступает</w:t>
      </w:r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другим методам, которые, как предполагается, являются более надежными, такими как лабораторные эксперименты, математические модели или статистический анализ и эконометрика 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(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Leombruni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and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Ricchiardi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, 2005;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Winsberg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, 2009; </w:t>
      </w:r>
      <w:proofErr w:type="spellStart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Reiss</w:t>
      </w:r>
      <w:proofErr w:type="spellEnd"/>
      <w:r w:rsidR="00B617FD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, 2011)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. Тем не менее, моделируемые результаты всегда зависят, с одной стороны, от значений параметров, при которых было выполнено моделирование, и, с другой стороны, они зависят от каждой детали «внутренней» структуры модели. По определению внутренняя структура модели специфична для этой модели и если эмпирических данных (а у них в статье поднимается тема того, что для изучения их мета-ордеров нужны временные циклы гораздо больше) недостаточно, то дальнейшая работа с этой моделью становится очень затруднительной. </w:t>
      </w:r>
    </w:p>
    <w:p w:rsidR="00686238" w:rsidRPr="00E17D53" w:rsidRDefault="00800110" w:rsidP="00433A29">
      <w:pPr>
        <w:pStyle w:val="2"/>
        <w:spacing w:line="276" w:lineRule="auto"/>
        <w:rPr>
          <w:rFonts w:ascii="Arial" w:eastAsia="Times New Roman" w:hAnsi="Arial" w:cs="Arial"/>
          <w:color w:val="002060"/>
          <w:shd w:val="clear" w:color="auto" w:fill="FFFFFF"/>
          <w:lang w:val="en-US" w:eastAsia="ru-RU"/>
        </w:rPr>
      </w:pPr>
      <w:bookmarkStart w:id="3" w:name="_Toc28466238"/>
      <w:r w:rsidRPr="00E17D53">
        <w:rPr>
          <w:rFonts w:ascii="Arial" w:eastAsia="Times New Roman" w:hAnsi="Arial" w:cs="Arial"/>
          <w:color w:val="002060"/>
          <w:shd w:val="clear" w:color="auto" w:fill="FFFFFF"/>
          <w:lang w:eastAsia="ru-RU"/>
        </w:rPr>
        <w:t xml:space="preserve">Краткий </w:t>
      </w:r>
      <w:r w:rsidRPr="00E17D53">
        <w:rPr>
          <w:rFonts w:ascii="Arial" w:eastAsia="Times New Roman" w:hAnsi="Arial" w:cs="Arial"/>
          <w:color w:val="002060"/>
          <w:shd w:val="clear" w:color="auto" w:fill="FFFFFF"/>
          <w:lang w:val="en-US" w:eastAsia="ru-RU"/>
        </w:rPr>
        <w:t>summary</w:t>
      </w:r>
      <w:r w:rsidRPr="00E17D53">
        <w:rPr>
          <w:rFonts w:ascii="Arial" w:eastAsia="Times New Roman" w:hAnsi="Arial" w:cs="Arial"/>
          <w:color w:val="002060"/>
          <w:shd w:val="clear" w:color="auto" w:fill="FFFFFF"/>
          <w:lang w:eastAsia="ru-RU"/>
        </w:rPr>
        <w:t xml:space="preserve"> глав</w:t>
      </w:r>
      <w:r w:rsidRPr="00E17D53">
        <w:rPr>
          <w:rFonts w:ascii="Arial" w:eastAsia="Times New Roman" w:hAnsi="Arial" w:cs="Arial"/>
          <w:color w:val="002060"/>
          <w:shd w:val="clear" w:color="auto" w:fill="FFFFFF"/>
          <w:lang w:val="en-US" w:eastAsia="ru-RU"/>
        </w:rPr>
        <w:t>:</w:t>
      </w:r>
      <w:bookmarkEnd w:id="3"/>
    </w:p>
    <w:p w:rsidR="00800110" w:rsidRPr="00433A29" w:rsidRDefault="00800110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686238" w:rsidRPr="00433A29" w:rsidRDefault="00686238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Структура статьи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:</w:t>
      </w:r>
    </w:p>
    <w:p w:rsidR="00686238" w:rsidRPr="00433A29" w:rsidRDefault="00590D6B" w:rsidP="00CC018A">
      <w:pPr>
        <w:pStyle w:val="a3"/>
        <w:numPr>
          <w:ilvl w:val="0"/>
          <w:numId w:val="1"/>
        </w:numPr>
        <w:spacing w:line="276" w:lineRule="auto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Вступление</w:t>
      </w:r>
    </w:p>
    <w:p w:rsidR="00590D6B" w:rsidRPr="00433A29" w:rsidRDefault="00590D6B" w:rsidP="00CC018A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Динамическая модель "скрытой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” 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ликвидности</w:t>
      </w:r>
    </w:p>
    <w:p w:rsidR="00590D6B" w:rsidRPr="00433A29" w:rsidRDefault="00590D6B" w:rsidP="00CC018A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Вогнутое воздействие мета-</w:t>
      </w:r>
      <w:r w:rsidR="00A64DB7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ордеров</w:t>
      </w:r>
    </w:p>
    <w:p w:rsidR="00686238" w:rsidRPr="00433A29" w:rsidRDefault="00590D6B" w:rsidP="00CC018A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Альтернативная</w:t>
      </w:r>
      <w:r w:rsidR="00686238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модель –</w:t>
      </w:r>
      <w:r w:rsidR="00686238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“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Стимулированное пополнение </w:t>
      </w:r>
      <w:proofErr w:type="spellStart"/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леквидности</w:t>
      </w:r>
      <w:proofErr w:type="spellEnd"/>
      <w:r w:rsidR="00686238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” </w:t>
      </w:r>
    </w:p>
    <w:p w:rsidR="00590D6B" w:rsidRPr="00433A29" w:rsidRDefault="00590D6B" w:rsidP="00CC018A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Общий </w:t>
      </w:r>
      <w:proofErr w:type="spellStart"/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фрэймворк</w:t>
      </w:r>
      <w:proofErr w:type="spellEnd"/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для </w:t>
      </w:r>
      <w:proofErr w:type="spellStart"/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марковских</w:t>
      </w:r>
      <w:proofErr w:type="spellEnd"/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="00A64DB7"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>книг ордеров</w:t>
      </w:r>
      <w:r w:rsidRPr="00433A29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</w:p>
    <w:p w:rsidR="00590D6B" w:rsidRPr="00433A29" w:rsidRDefault="00590D6B" w:rsidP="00CC018A">
      <w:pPr>
        <w:pStyle w:val="a3"/>
        <w:numPr>
          <w:ilvl w:val="0"/>
          <w:numId w:val="1"/>
        </w:numPr>
        <w:spacing w:line="276" w:lineRule="auto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Выводы</w:t>
      </w:r>
    </w:p>
    <w:p w:rsidR="00E243E5" w:rsidRPr="00433A29" w:rsidRDefault="00E243E5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</w:pPr>
    </w:p>
    <w:p w:rsidR="00E243E5" w:rsidRPr="00433A29" w:rsidRDefault="00E243E5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Аналитическая часть статьи начинается с предоставления более точных численных результатов о фазовом переходе, между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супердиффузионным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(трендовым) рынком и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субдиффузионным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среднеобращающимся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 рынком при изменении параметров модели. Модель является примером случайного блуждания в адаптивной среде. Затем изучаются различные аспекты воздействия мета-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Далее широко подтверждаются выводы из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предыдущей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работы</w:t>
      </w:r>
      <w:r w:rsidR="00FB3737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(</w:t>
      </w:r>
      <w:proofErr w:type="gram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Toth,B.</w:t>
      </w:r>
      <w:proofErr w:type="gram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Lemp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́eri`ere,Y.,Deremble,C.,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DeLataillade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J.,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Kockelkoren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J.,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Bouchaud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J. P. (2011).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 xml:space="preserve">Anomalous price impact and the critical nature of liquidity in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finan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 xml:space="preserve">-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cial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 xml:space="preserve"> markets.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Physical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Review</w:t>
      </w:r>
      <w:proofErr w:type="spellEnd"/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). В этом блоке объясняется, что построенная им</w:t>
      </w:r>
      <w:r w:rsidR="00FB3737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модель «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ε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-интеллекта» действительно достаточна для воспроизведения функции, при условии, что выполнение мета-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="00CB08D1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происходит в масштабах времени, намного короче, чем время обновления скрытой книги ордеров.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Далее объясняется </w:t>
      </w:r>
      <w:r w:rsidR="00FE0A73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степень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влияни</w:t>
      </w:r>
      <w:r w:rsidR="00FE0A73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различны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х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стил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ей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исполнения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заявок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(например, агрессивные рыночные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или пассивные лимитные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="00FB3737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которые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практически не влияют на форму функции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Затем представляются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изменени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исходной настройки модели,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где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прида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ется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более симметрич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ная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роль рынку и </w:t>
      </w:r>
      <w:r w:rsidR="00CB08D1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лимитируются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  <w:r w:rsidR="00FE0A73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 новой модели л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имитные ордер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FE0A73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адаптированы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к потоку рыночных ордеров и выступают в качестве буферов против дальнейших движений цены. В исходной версии модели корреляции </w:t>
      </w:r>
      <w:r w:rsidR="00A2607A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лимитных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ордеров полностью отсутствуют, и ограничивающая роль книги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ордеров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является чисто механической.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После модификации значения функции оказались еще ближе к эмпирическим. Заканчивается данная работа представлением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общ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ей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теоретическ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основ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ы, п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ривод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ятся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некоторые аналитические расчеты, которые могут позволить выйти за рамки численного моделирования и явно вычислить различные свойства модели (свойства супер- или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субдиффузии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временную зависимость функции и т. </w:t>
      </w:r>
      <w:r w:rsidR="00A64DB7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.)</w:t>
      </w:r>
      <w:r w:rsidR="00896224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 что представляет больше математический интере</w:t>
      </w:r>
      <w:r w:rsidR="00AB4D6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</w:p>
    <w:p w:rsidR="00E243E5" w:rsidRPr="00433A29" w:rsidRDefault="00E243E5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4F2319" w:rsidRDefault="004F2319">
      <w:pPr>
        <w:rPr>
          <w:rFonts w:ascii="Arial" w:eastAsia="Times New Roman" w:hAnsi="Arial" w:cs="Arial"/>
          <w:color w:val="2F5496" w:themeColor="accent1" w:themeShade="BF"/>
          <w:sz w:val="26"/>
          <w:szCs w:val="26"/>
          <w:shd w:val="clear" w:color="auto" w:fill="FFFFFF"/>
          <w:lang w:eastAsia="ru-RU"/>
        </w:rPr>
      </w:pPr>
      <w:bookmarkStart w:id="4" w:name="_Toc28466239"/>
      <w:r>
        <w:rPr>
          <w:rFonts w:ascii="Arial" w:eastAsia="Times New Roman" w:hAnsi="Arial" w:cs="Arial"/>
          <w:sz w:val="26"/>
          <w:szCs w:val="26"/>
          <w:shd w:val="clear" w:color="auto" w:fill="FFFFFF"/>
          <w:lang w:eastAsia="ru-RU"/>
        </w:rPr>
        <w:br w:type="page"/>
      </w:r>
    </w:p>
    <w:p w:rsidR="00800110" w:rsidRPr="00E17D53" w:rsidRDefault="00800110" w:rsidP="00433A29">
      <w:pPr>
        <w:pStyle w:val="1"/>
        <w:spacing w:line="276" w:lineRule="auto"/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</w:pPr>
      <w:r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lastRenderedPageBreak/>
        <w:t>Более подробное описание главы 1, 2</w:t>
      </w:r>
      <w:bookmarkEnd w:id="4"/>
    </w:p>
    <w:p w:rsidR="00800110" w:rsidRPr="00E17D53" w:rsidRDefault="00800110" w:rsidP="00433A29">
      <w:pPr>
        <w:spacing w:line="276" w:lineRule="auto"/>
        <w:rPr>
          <w:rFonts w:ascii="Arial" w:hAnsi="Arial" w:cs="Arial"/>
          <w:color w:val="002060"/>
          <w:sz w:val="28"/>
          <w:szCs w:val="28"/>
          <w:lang w:eastAsia="ru-RU"/>
        </w:rPr>
      </w:pPr>
    </w:p>
    <w:p w:rsidR="005B2DE5" w:rsidRPr="00E17D53" w:rsidRDefault="00485E3D" w:rsidP="00433A29">
      <w:pPr>
        <w:pStyle w:val="2"/>
        <w:spacing w:line="276" w:lineRule="auto"/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</w:pPr>
      <w:bookmarkStart w:id="5" w:name="_Toc28466240"/>
      <w:r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t>Глава 1 (в</w:t>
      </w:r>
      <w:r w:rsidR="00590D6B"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t>ступление</w:t>
      </w:r>
      <w:r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t>)</w:t>
      </w:r>
      <w:bookmarkEnd w:id="5"/>
    </w:p>
    <w:p w:rsidR="00E243E5" w:rsidRPr="00433A29" w:rsidRDefault="00E243E5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1371C0" w:rsidRPr="00433A29" w:rsidRDefault="00AF477A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Начинается стать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 размышления о влиянии ценового фактора. Первое предположение –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влияние цены на объем сделок должно быть линейным, т.е. пропорциональным объему сделки. Но это предположение не новое, оно уже упоминалось в работе, предложенной Кайлом в 1985 (</w:t>
      </w:r>
      <w:hyperlink r:id="rId10" w:history="1">
        <w:r w:rsidRPr="00433A29">
          <w:rPr>
            <w:rStyle w:val="a5"/>
            <w:rFonts w:ascii="Arial" w:eastAsia="Times New Roman" w:hAnsi="Arial" w:cs="Arial"/>
            <w:sz w:val="26"/>
            <w:szCs w:val="26"/>
            <w:shd w:val="clear" w:color="auto" w:fill="FFFFFF"/>
            <w:lang w:eastAsia="ru-RU"/>
          </w:rPr>
          <w:t>https://arxiv.org/abs/1102.5457</w:t>
        </w:r>
      </w:hyperlink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), данная работа оказала большое влияние на продвижение в изучении влияния ценового фактора. К большому удивлению, последние 15 лет показали, что это утверждение не валидное</w:t>
      </w:r>
      <w:r w:rsidR="00A17C5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вместо этого появился новый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фрэймворк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– закон 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влияния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квадратичного корня. </w:t>
      </w:r>
    </w:p>
    <w:p w:rsidR="00351110" w:rsidRPr="00433A29" w:rsidRDefault="001371C0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ab/>
      </w:r>
    </w:p>
    <w:p w:rsidR="001371C0" w:rsidRDefault="001371C0" w:rsidP="00E17D53">
      <w:pPr>
        <w:spacing w:line="276" w:lineRule="auto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Отступление</w:t>
      </w:r>
      <w:r w:rsidR="002E1796"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 xml:space="preserve"> от статьи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:</w:t>
      </w:r>
    </w:p>
    <w:p w:rsidR="00E17D53" w:rsidRPr="00433A29" w:rsidRDefault="00E17D53" w:rsidP="00E17D53">
      <w:pPr>
        <w:spacing w:line="276" w:lineRule="auto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</w:pPr>
    </w:p>
    <w:p w:rsidR="001371C0" w:rsidRPr="00433A29" w:rsidRDefault="001371C0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Что такое закон 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влияния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квадратичного корня?</w:t>
      </w: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 течение многих лет трейдеры использовали простую модель ликвидности, описанную, например,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Гринольдом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 Каном в 1994 году. Программное обеспечение, включающее эту модель, включает в себя: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Salomon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Brothers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StockFacts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Pro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примерно с 1991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Barra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Market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Impact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Model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примерно с 1998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Bloomberg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 TCA с 2005 года.</w:t>
      </w:r>
    </w:p>
    <w:p w:rsidR="008B2351" w:rsidRPr="00433A29" w:rsidRDefault="00351110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Этот закон используется для предоставления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предторговой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оценки влияния рынка. </w:t>
      </w:r>
      <w:r w:rsidR="008B2351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По определению, торговля влияет на форму спроса и предложения</w:t>
      </w:r>
      <w:r w:rsidR="00392538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рынке</w:t>
      </w:r>
      <w:r w:rsidR="008B2351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 За основу</w:t>
      </w:r>
      <w:r w:rsidR="002A17F4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 модели</w:t>
      </w:r>
      <w:r w:rsidR="008B2351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берется</w:t>
      </w:r>
      <w:r w:rsidR="008B2351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ценовой фактор. Почему ценовой фактор?</w:t>
      </w:r>
    </w:p>
    <w:p w:rsidR="002E1796" w:rsidRPr="00433A29" w:rsidRDefault="002E1796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</w:pPr>
    </w:p>
    <w:p w:rsidR="008B2351" w:rsidRPr="00433A29" w:rsidRDefault="008B2351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Теория (I): влияние цены 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— это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способ исследовать кривые спроса и предложения, чтобы определить их свойства;</w:t>
      </w:r>
    </w:p>
    <w:p w:rsidR="008B2351" w:rsidRPr="00433A29" w:rsidRDefault="008B2351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Теория (II):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влияние цены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— это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механизм, посредством которого цены поглощают информацию, закодированную в сделках; потому что это ключевой компонент многих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агентных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моделей, целью которых является изучение ценообразования;</w:t>
      </w:r>
    </w:p>
    <w:p w:rsidR="008B2351" w:rsidRPr="00433A29" w:rsidRDefault="008B2351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Практика (I): 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влияние цены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2E1796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— это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стоимость для трейдеров, которую они должны точно контролировать, чтобы оптимизировать свое исполнение;</w:t>
      </w:r>
    </w:p>
    <w:p w:rsidR="008B2351" w:rsidRPr="00433A29" w:rsidRDefault="008B2351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Практика (II): для регулирующих органов влияние цен влияет на стабильность.</w:t>
      </w:r>
    </w:p>
    <w:p w:rsidR="002E1796" w:rsidRPr="00433A29" w:rsidRDefault="002E1796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2E1796" w:rsidRPr="00433A29" w:rsidRDefault="002E1796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 другой своей работе для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Imperial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College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London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авторы этой статьи приводят графики, которые доказывают точку зрения влияния ценового фактора</w:t>
      </w:r>
    </w:p>
    <w:p w:rsidR="002E1796" w:rsidRPr="00433A29" w:rsidRDefault="002E1796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351110" w:rsidRPr="00433A29" w:rsidRDefault="00351110" w:rsidP="00433A29">
      <w:pPr>
        <w:spacing w:line="276" w:lineRule="auto"/>
        <w:ind w:firstLine="708"/>
        <w:jc w:val="center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noProof/>
          <w:color w:val="111111"/>
          <w:sz w:val="26"/>
          <w:szCs w:val="26"/>
          <w:shd w:val="clear" w:color="auto" w:fill="FFFFFF"/>
          <w:lang w:eastAsia="ru-RU"/>
        </w:rPr>
        <w:lastRenderedPageBreak/>
        <w:drawing>
          <wp:inline distT="0" distB="0" distL="0" distR="0">
            <wp:extent cx="3377584" cy="292382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28 в 19.49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964" cy="29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4F" w:rsidRPr="008A286B" w:rsidRDefault="000C734F" w:rsidP="00433A29">
      <w:pPr>
        <w:spacing w:line="276" w:lineRule="auto"/>
        <w:ind w:firstLine="708"/>
        <w:jc w:val="right"/>
        <w:rPr>
          <w:rFonts w:ascii="Arial" w:eastAsia="Times New Roman" w:hAnsi="Arial" w:cs="Arial"/>
          <w:i/>
          <w:iCs/>
          <w:color w:val="002060"/>
          <w:shd w:val="clear" w:color="auto" w:fill="FFFFFF"/>
          <w:lang w:eastAsia="ru-RU"/>
        </w:rPr>
      </w:pPr>
      <w:r w:rsidRPr="008A286B">
        <w:rPr>
          <w:rFonts w:ascii="Arial" w:eastAsia="Times New Roman" w:hAnsi="Arial" w:cs="Arial"/>
          <w:i/>
          <w:iCs/>
          <w:color w:val="002060"/>
          <w:shd w:val="clear" w:color="auto" w:fill="FFFFFF"/>
          <w:lang w:eastAsia="ru-RU"/>
        </w:rPr>
        <w:t>График 1</w:t>
      </w:r>
    </w:p>
    <w:p w:rsidR="000C734F" w:rsidRPr="00433A29" w:rsidRDefault="000C734F" w:rsidP="00433A29">
      <w:pPr>
        <w:spacing w:line="276" w:lineRule="auto"/>
        <w:ind w:firstLine="708"/>
        <w:jc w:val="right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На графике кривая влияния, полученная для конкретного фьючерсного контракта (GBP). 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По графику можно заметить, как значение из закона близко коррелирует с соотношение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м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количества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исполняемых бумаг 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и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дневным объемом сделок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</w:pP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val="en-US" w:eastAsia="ru-RU"/>
        </w:rPr>
      </w:pP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Более подробно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val="en-US" w:eastAsia="ru-RU"/>
        </w:rPr>
        <w:t xml:space="preserve"> 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о графике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val="en-US" w:eastAsia="ru-RU"/>
        </w:rPr>
        <w:t>:</w:t>
      </w: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proofErr w:type="gram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Toth,B.</w:t>
      </w:r>
      <w:proofErr w:type="gram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Lemp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́eri`ere,Y.,Deremble,C.,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DeLataillade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J.,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Kockelkoren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J.,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Bouchaud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J. P. (2011).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Anomalous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price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impact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and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the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critical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nature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of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liquidity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in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finan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-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cial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markets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Physical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Review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X, 1(2), 021006. </w:t>
      </w:r>
    </w:p>
    <w:p w:rsidR="00351110" w:rsidRPr="00433A29" w:rsidRDefault="001371C0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ab/>
      </w:r>
    </w:p>
    <w:p w:rsidR="001371C0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Средняя относительная разница цен между первой и последней сделкой мета-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="00C90F9C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объема Q хорошо описывается следующим законом:</w:t>
      </w: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371C0" w:rsidRPr="00433A29" w:rsidTr="001371C0">
        <w:tc>
          <w:tcPr>
            <w:tcW w:w="4669" w:type="dxa"/>
          </w:tcPr>
          <w:p w:rsidR="000C734F" w:rsidRPr="00433A29" w:rsidRDefault="000C734F" w:rsidP="00433A29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6"/>
                <w:szCs w:val="26"/>
                <w:shd w:val="clear" w:color="auto" w:fill="FFFFFF"/>
                <w:lang w:eastAsia="ru-RU"/>
              </w:rPr>
            </w:pPr>
          </w:p>
          <w:p w:rsidR="000C734F" w:rsidRPr="00433A29" w:rsidRDefault="000C734F" w:rsidP="00433A29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6"/>
                <w:szCs w:val="26"/>
                <w:shd w:val="clear" w:color="auto" w:fill="FFFFFF"/>
                <w:lang w:eastAsia="ru-RU"/>
              </w:rPr>
            </w:pPr>
          </w:p>
          <w:p w:rsidR="000C734F" w:rsidRPr="00433A29" w:rsidRDefault="000C734F" w:rsidP="00433A29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6"/>
                <w:szCs w:val="26"/>
                <w:shd w:val="clear" w:color="auto" w:fill="FFFFFF"/>
                <w:lang w:eastAsia="ru-RU"/>
              </w:rPr>
            </w:pPr>
          </w:p>
          <w:p w:rsidR="000C734F" w:rsidRPr="00433A29" w:rsidRDefault="000C734F" w:rsidP="00433A29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6"/>
                <w:szCs w:val="26"/>
                <w:shd w:val="clear" w:color="auto" w:fill="FFFFFF"/>
                <w:lang w:eastAsia="ru-RU"/>
              </w:rPr>
            </w:pPr>
          </w:p>
          <w:p w:rsidR="001371C0" w:rsidRDefault="002E1796" w:rsidP="00433A29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6"/>
                <w:szCs w:val="26"/>
                <w:shd w:val="clear" w:color="auto" w:fill="FFFFFF"/>
                <w:lang w:val="en-US" w:eastAsia="ru-RU"/>
              </w:rPr>
            </w:pPr>
            <w:r w:rsidRPr="00433A29">
              <w:rPr>
                <w:rFonts w:ascii="Arial" w:eastAsia="Times New Roman" w:hAnsi="Arial" w:cs="Arial"/>
                <w:noProof/>
                <w:color w:val="111111"/>
                <w:sz w:val="26"/>
                <w:szCs w:val="26"/>
                <w:shd w:val="clear" w:color="auto" w:fill="FFFFFF"/>
                <w:lang w:val="en-US" w:eastAsia="ru-RU"/>
              </w:rPr>
              <w:drawing>
                <wp:inline distT="0" distB="0" distL="0" distR="0">
                  <wp:extent cx="2224726" cy="84237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19-12-28 в 19.46.1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089" cy="85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483" w:rsidRPr="008A286B" w:rsidRDefault="007C2483" w:rsidP="00C150C7">
            <w:pPr>
              <w:spacing w:line="276" w:lineRule="auto"/>
              <w:jc w:val="center"/>
              <w:rPr>
                <w:rFonts w:ascii="Arial" w:eastAsia="Times New Roman" w:hAnsi="Arial" w:cs="Arial"/>
                <w:i/>
                <w:iCs/>
                <w:color w:val="002060"/>
                <w:shd w:val="clear" w:color="auto" w:fill="FFFFFF"/>
                <w:lang w:eastAsia="ru-RU"/>
              </w:rPr>
            </w:pPr>
            <w:r w:rsidRPr="008A286B">
              <w:rPr>
                <w:rFonts w:ascii="Arial" w:eastAsia="Times New Roman" w:hAnsi="Arial" w:cs="Arial"/>
                <w:i/>
                <w:iCs/>
                <w:color w:val="002060"/>
                <w:shd w:val="clear" w:color="auto" w:fill="FFFFFF"/>
                <w:lang w:eastAsia="ru-RU"/>
              </w:rPr>
              <w:t>Формула 1</w:t>
            </w:r>
          </w:p>
          <w:p w:rsidR="00351110" w:rsidRPr="00433A29" w:rsidRDefault="00351110" w:rsidP="00433A29">
            <w:pPr>
              <w:spacing w:line="276" w:lineRule="auto"/>
              <w:jc w:val="both"/>
              <w:rPr>
                <w:rFonts w:ascii="Arial" w:eastAsia="Times New Roman" w:hAnsi="Arial" w:cs="Arial"/>
                <w:color w:val="111111"/>
                <w:sz w:val="26"/>
                <w:szCs w:val="26"/>
                <w:shd w:val="clear" w:color="auto" w:fill="FFFFFF"/>
                <w:lang w:val="en-US" w:eastAsia="ru-RU"/>
              </w:rPr>
            </w:pPr>
          </w:p>
        </w:tc>
        <w:tc>
          <w:tcPr>
            <w:tcW w:w="4670" w:type="dxa"/>
          </w:tcPr>
          <w:p w:rsidR="001371C0" w:rsidRPr="00433A29" w:rsidRDefault="001371C0" w:rsidP="00433A29">
            <w:pPr>
              <w:pStyle w:val="a4"/>
              <w:shd w:val="clear" w:color="auto" w:fill="FFFFFF"/>
              <w:spacing w:line="276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433A29"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  <w:t xml:space="preserve">Где </w:t>
            </w:r>
            <w:r w:rsidR="00351110" w:rsidRPr="00433A29"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  <w:lang w:val="en-US"/>
              </w:rPr>
              <w:t>I</w:t>
            </w:r>
            <w:r w:rsidR="00351110" w:rsidRPr="00433A29"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  <w:t>(</w:t>
            </w:r>
            <w:r w:rsidR="00351110" w:rsidRPr="00433A29"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  <w:lang w:val="en-US"/>
              </w:rPr>
              <w:t>Q</w:t>
            </w:r>
            <w:r w:rsidR="00351110" w:rsidRPr="00433A29"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  <w:t xml:space="preserve">) </w:t>
            </w:r>
            <w:r w:rsidR="00351110" w:rsidRPr="00433A29"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  <w:softHyphen/>
              <w:t xml:space="preserve">– это изменение цены, </w:t>
            </w:r>
            <w:r w:rsidRPr="00433A29">
              <w:rPr>
                <w:rFonts w:ascii="Arial" w:hAnsi="Arial" w:cs="Arial"/>
                <w:sz w:val="26"/>
                <w:szCs w:val="26"/>
              </w:rPr>
              <w:t>σ –</w:t>
            </w:r>
            <w:r w:rsidR="00351110" w:rsidRPr="00433A29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33A29">
              <w:rPr>
                <w:rFonts w:ascii="Arial" w:hAnsi="Arial" w:cs="Arial"/>
                <w:sz w:val="26"/>
                <w:szCs w:val="26"/>
              </w:rPr>
              <w:t xml:space="preserve">это дневная волатильность, </w:t>
            </w:r>
            <w:r w:rsidRPr="00433A29">
              <w:rPr>
                <w:rFonts w:ascii="Arial" w:hAnsi="Arial" w:cs="Arial"/>
                <w:sz w:val="26"/>
                <w:szCs w:val="26"/>
                <w:lang w:val="en-US"/>
              </w:rPr>
              <w:t>V</w:t>
            </w:r>
            <w:r w:rsidRPr="00433A29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351110" w:rsidRPr="00433A29">
              <w:rPr>
                <w:rFonts w:ascii="Arial" w:hAnsi="Arial" w:cs="Arial"/>
                <w:sz w:val="26"/>
                <w:szCs w:val="26"/>
              </w:rPr>
              <w:t xml:space="preserve">– </w:t>
            </w:r>
            <w:r w:rsidRPr="00433A29">
              <w:rPr>
                <w:rFonts w:ascii="Arial" w:hAnsi="Arial" w:cs="Arial"/>
                <w:sz w:val="26"/>
                <w:szCs w:val="26"/>
              </w:rPr>
              <w:t xml:space="preserve">дневной объем сделок, </w:t>
            </w:r>
            <w:r w:rsidRPr="00433A29">
              <w:rPr>
                <w:rFonts w:ascii="Arial" w:hAnsi="Arial" w:cs="Arial"/>
                <w:sz w:val="26"/>
                <w:szCs w:val="26"/>
                <w:lang w:val="en-US"/>
              </w:rPr>
              <w:t>Q</w:t>
            </w:r>
            <w:r w:rsidRPr="00433A29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351110" w:rsidRPr="00433A29">
              <w:rPr>
                <w:rFonts w:ascii="Arial" w:hAnsi="Arial" w:cs="Arial"/>
                <w:sz w:val="26"/>
                <w:szCs w:val="26"/>
              </w:rPr>
              <w:t xml:space="preserve">– </w:t>
            </w:r>
            <w:r w:rsidRPr="00433A29">
              <w:rPr>
                <w:rFonts w:ascii="Arial" w:hAnsi="Arial" w:cs="Arial"/>
                <w:sz w:val="26"/>
                <w:szCs w:val="26"/>
              </w:rPr>
              <w:t>количество</w:t>
            </w:r>
            <w:r w:rsidR="002E1796" w:rsidRPr="00433A29">
              <w:rPr>
                <w:rFonts w:ascii="Arial" w:hAnsi="Arial" w:cs="Arial"/>
                <w:sz w:val="26"/>
                <w:szCs w:val="26"/>
              </w:rPr>
              <w:t xml:space="preserve"> исполняемых</w:t>
            </w:r>
            <w:r w:rsidRPr="00433A29">
              <w:rPr>
                <w:rFonts w:ascii="Arial" w:hAnsi="Arial" w:cs="Arial"/>
                <w:sz w:val="26"/>
                <w:szCs w:val="26"/>
              </w:rPr>
              <w:t xml:space="preserve"> бумаг для продажи, </w:t>
            </w:r>
            <w:r w:rsidR="002E1796" w:rsidRPr="00433A29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="002E1796" w:rsidRPr="00433A29">
              <w:rPr>
                <w:rFonts w:ascii="Arial" w:hAnsi="Arial" w:cs="Arial"/>
                <w:sz w:val="26"/>
                <w:szCs w:val="26"/>
              </w:rPr>
              <w:t xml:space="preserve"> – это коэффициент </w:t>
            </w:r>
            <w:r w:rsidR="002E1796" w:rsidRPr="00433A29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="00351110" w:rsidRPr="00433A29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2E1796" w:rsidRPr="00E17D53" w:rsidRDefault="002E1796" w:rsidP="00433A29">
            <w:pPr>
              <w:pStyle w:val="a4"/>
              <w:shd w:val="clear" w:color="auto" w:fill="FFFFFF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E17D53">
              <w:rPr>
                <w:rFonts w:ascii="Arial" w:hAnsi="Arial" w:cs="Arial"/>
              </w:rPr>
              <w:t>Более</w:t>
            </w:r>
            <w:r w:rsidRPr="00E17D53">
              <w:rPr>
                <w:rFonts w:ascii="Arial" w:hAnsi="Arial" w:cs="Arial"/>
                <w:lang w:val="en-US"/>
              </w:rPr>
              <w:t xml:space="preserve"> </w:t>
            </w:r>
            <w:r w:rsidRPr="00E17D53">
              <w:rPr>
                <w:rFonts w:ascii="Arial" w:hAnsi="Arial" w:cs="Arial"/>
              </w:rPr>
              <w:t>подробно</w:t>
            </w:r>
            <w:r w:rsidRPr="00E17D53">
              <w:rPr>
                <w:rFonts w:ascii="Arial" w:hAnsi="Arial" w:cs="Arial"/>
                <w:lang w:val="en-US"/>
              </w:rPr>
              <w:t xml:space="preserve"> </w:t>
            </w:r>
            <w:r w:rsidRPr="00E17D53">
              <w:rPr>
                <w:rFonts w:ascii="Arial" w:hAnsi="Arial" w:cs="Arial"/>
              </w:rPr>
              <w:t>в</w:t>
            </w:r>
            <w:r w:rsidRPr="00E17D53">
              <w:rPr>
                <w:rFonts w:ascii="Arial" w:hAnsi="Arial" w:cs="Arial"/>
                <w:lang w:val="en-US"/>
              </w:rPr>
              <w:t xml:space="preserve"> </w:t>
            </w:r>
            <w:r w:rsidRPr="00E17D53">
              <w:rPr>
                <w:rFonts w:ascii="Arial" w:hAnsi="Arial" w:cs="Arial"/>
              </w:rPr>
              <w:t>работах</w:t>
            </w:r>
            <w:r w:rsidRPr="00E17D53">
              <w:rPr>
                <w:rFonts w:ascii="Arial" w:hAnsi="Arial" w:cs="Arial"/>
                <w:lang w:val="en-US"/>
              </w:rPr>
              <w:t>:</w:t>
            </w:r>
          </w:p>
          <w:p w:rsidR="002E1796" w:rsidRPr="00433A29" w:rsidRDefault="002E1796" w:rsidP="00433A29">
            <w:pPr>
              <w:pStyle w:val="a4"/>
              <w:shd w:val="clear" w:color="auto" w:fill="FFFFFF"/>
              <w:spacing w:line="276" w:lineRule="auto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E17D53">
              <w:rPr>
                <w:rFonts w:ascii="Arial" w:hAnsi="Arial" w:cs="Arial"/>
                <w:lang w:val="en-US"/>
              </w:rPr>
              <w:t xml:space="preserve">Torre (1997), Almgren </w:t>
            </w:r>
            <w:proofErr w:type="gramStart"/>
            <w:r w:rsidRPr="00E17D53">
              <w:rPr>
                <w:rFonts w:ascii="Arial" w:hAnsi="Arial" w:cs="Arial"/>
                <w:lang w:val="en-US"/>
              </w:rPr>
              <w:t>et al.(</w:t>
            </w:r>
            <w:proofErr w:type="gramEnd"/>
            <w:r w:rsidRPr="00E17D53">
              <w:rPr>
                <w:rFonts w:ascii="Arial" w:hAnsi="Arial" w:cs="Arial"/>
                <w:lang w:val="en-US"/>
              </w:rPr>
              <w:t xml:space="preserve">2003), Moro et al. (2009), 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Tóth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 et al.(2011), Gomes, 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Waelbroeck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 (2014),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Bershova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Rakhlin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 (2013), 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Mastromatteo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 et al.(2014), X. 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Brokmann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 et al. (2014),</w:t>
            </w:r>
            <w:proofErr w:type="spellStart"/>
            <w:r w:rsidRPr="00E17D53">
              <w:rPr>
                <w:rFonts w:ascii="Arial" w:hAnsi="Arial" w:cs="Arial"/>
                <w:lang w:val="en-US"/>
              </w:rPr>
              <w:t>Zarinelli</w:t>
            </w:r>
            <w:proofErr w:type="spellEnd"/>
            <w:r w:rsidRPr="00E17D53">
              <w:rPr>
                <w:rFonts w:ascii="Arial" w:hAnsi="Arial" w:cs="Arial"/>
                <w:lang w:val="en-US"/>
              </w:rPr>
              <w:t xml:space="preserve"> et al. (2015)</w:t>
            </w:r>
          </w:p>
        </w:tc>
      </w:tr>
    </w:tbl>
    <w:p w:rsidR="00351110" w:rsidRPr="00433A29" w:rsidRDefault="00351110" w:rsidP="00E17D53">
      <w:pPr>
        <w:spacing w:line="276" w:lineRule="auto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lastRenderedPageBreak/>
        <w:t>Конец отступления</w:t>
      </w:r>
    </w:p>
    <w:p w:rsidR="00351110" w:rsidRPr="00433A29" w:rsidRDefault="00351110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AF477A" w:rsidRPr="00433A29" w:rsidRDefault="00AF477A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Тем не менее, следует тщательно различать различные определения "ценового влияния". К примеру, один рыночный ордер является сильно вогнутой функцией объема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сделок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имеющей значительную зависимость от микроструктуры (размера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тик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ера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приоритета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 т.д.).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Вогнутость является результатом обусловленного эффекта – размер рыночного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="00DB37ED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очень редко превышает общий объем лимитных ордеров</w:t>
      </w:r>
      <w:r w:rsidR="00DB37ED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  <w:r w:rsidR="005B2D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</w:p>
    <w:p w:rsidR="005B2DE5" w:rsidRPr="00433A29" w:rsidRDefault="005B2DE5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Закон влияния кв. корня более актуальный </w:t>
      </w:r>
      <w:r w:rsidR="00DB37ED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и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универсальный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 Это касается среднего воздействия «мета-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="00DB37ED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» размера Q, который представляет собой последовательность однонаправленных ордеров от одного и того же инвестора, постепенно исполняемых на рынке с использованием либо рыночных, либо лимитных ордеров, которые суммируются до определенного количества Q. Почему закон </w:t>
      </w:r>
      <w:proofErr w:type="spellStart"/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кв. </w:t>
      </w:r>
      <w:proofErr w:type="spellEnd"/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корня более актуален? Потому что </w:t>
      </w:r>
      <w:r w:rsidR="000C734F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мета-ордеры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слишком велики, и скорее должны быть фрагментированы в (много) небольших ордеров, которые </w:t>
      </w:r>
      <w:r w:rsidR="0056408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исполняются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постепенно. </w:t>
      </w:r>
      <w:r w:rsidR="000C734F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Закон распространяется также на рынки – </w:t>
      </w:r>
      <w:r w:rsidR="00351110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акции, фьючерсы, валют</w:t>
      </w:r>
      <w:r w:rsidR="000C734F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а и др.). </w:t>
      </w:r>
    </w:p>
    <w:p w:rsidR="000C734F" w:rsidRPr="00433A29" w:rsidRDefault="000C734F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График 1 демонстрирует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валидность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закона по нескольким причинам. Во-первых, поскольку он настолько универсален (для разных рынков и стратегий исполнения) и стабилен с течением времени, действительно заманчиво назвать его «законом». </w:t>
      </w:r>
      <w:r w:rsidR="0056408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Во-вторых, на рынке должна существовать некоторая память, превышающая обычное время, необходимое для исполнения мета-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="00DB37ED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="0056408D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</w:p>
    <w:p w:rsidR="0056408D" w:rsidRPr="00433A29" w:rsidRDefault="0056408D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 предыдущей публикации была предложена модель на основе памяти и ликвидности. Основная причина выбора этих двух компонентов – рационализация универсальной зависимости воздействия от квадратного корня. Главное заключение – действительность существования «скрытой» книги ордеров, то есть 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ордеров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покупку / продажу, которые не обязательно размещаются в видимой книге 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ордеров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но выдающие себя. </w:t>
      </w:r>
    </w:p>
    <w:p w:rsidR="00C150C7" w:rsidRDefault="0056408D" w:rsidP="00C150C7">
      <w:pPr>
        <w:spacing w:line="276" w:lineRule="auto"/>
        <w:jc w:val="both"/>
        <w:rPr>
          <w:rFonts w:ascii="Arial" w:eastAsia="Times New Roman" w:hAnsi="Arial" w:cs="Arial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ab/>
        <w:t>Используя аналитические аргументы, так и численное моделирование искусственного рынка, авторы статьи указали на V-образную форму профиля ликвидности с минимумом вокруг текущей цены и линейным ростом по мере удаления от цены. Это объясняет, почему сопротивление дальнейшим движениям увеличивается с исполняемым объемом. Точно так же исчезающий ожидаемый объем, доступный вокруг средней цены, приводит к очень маленьким сделкам, имеющим аномально большой эффект, что действительно отражается в особом поведении функции квадратного корня вблизи начала координат.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Все эти вычисления привели к главн</w:t>
      </w:r>
      <w:r w:rsidR="004F4B0A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ым выводам о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наличи</w:t>
      </w:r>
      <w:r w:rsidR="004F4B0A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u w:val="single"/>
          <w:shd w:val="clear" w:color="auto" w:fill="FFFFFF"/>
          <w:lang w:eastAsia="ru-RU"/>
        </w:rPr>
        <w:t>критически важной ликвидности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финансовых рынках и 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u w:val="single"/>
          <w:shd w:val="clear" w:color="auto" w:fill="FFFFFF"/>
          <w:lang w:eastAsia="ru-RU"/>
        </w:rPr>
        <w:t>наличии воронки ликвидности</w:t>
      </w:r>
      <w:r w:rsidR="00E243E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  <w:bookmarkStart w:id="6" w:name="_Toc28466241"/>
    </w:p>
    <w:p w:rsidR="00C150C7" w:rsidRDefault="00C150C7" w:rsidP="00C150C7">
      <w:pPr>
        <w:spacing w:line="276" w:lineRule="auto"/>
        <w:jc w:val="both"/>
        <w:rPr>
          <w:rFonts w:ascii="Arial" w:eastAsia="Times New Roman" w:hAnsi="Arial" w:cs="Arial"/>
          <w:shd w:val="clear" w:color="auto" w:fill="FFFFFF"/>
          <w:lang w:eastAsia="ru-RU"/>
        </w:rPr>
      </w:pPr>
    </w:p>
    <w:p w:rsidR="00FE0A73" w:rsidRDefault="00FE0A73" w:rsidP="00C150C7">
      <w:pPr>
        <w:pStyle w:val="2"/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</w:pPr>
      <w:r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lastRenderedPageBreak/>
        <w:t>Глава 2</w:t>
      </w:r>
      <w:r w:rsidR="00800110"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t xml:space="preserve"> </w:t>
      </w:r>
      <w:r w:rsidRPr="00E17D53"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eastAsia="ru-RU"/>
        </w:rPr>
        <w:t>(Динамическая модель скрытой ликвидности)</w:t>
      </w:r>
      <w:bookmarkEnd w:id="6"/>
    </w:p>
    <w:p w:rsidR="00E17D53" w:rsidRPr="00E17D53" w:rsidRDefault="00E17D53" w:rsidP="00E17D53">
      <w:pPr>
        <w:rPr>
          <w:lang w:eastAsia="ru-RU"/>
        </w:rPr>
      </w:pPr>
    </w:p>
    <w:p w:rsidR="00322E69" w:rsidRPr="00E17D53" w:rsidRDefault="008A4595" w:rsidP="00433A29">
      <w:pPr>
        <w:pStyle w:val="3"/>
        <w:spacing w:line="276" w:lineRule="auto"/>
        <w:rPr>
          <w:rFonts w:ascii="Arial" w:hAnsi="Arial" w:cs="Arial"/>
          <w:color w:val="002060"/>
          <w:sz w:val="28"/>
          <w:szCs w:val="28"/>
          <w:lang w:eastAsia="ru-RU"/>
        </w:rPr>
      </w:pPr>
      <w:bookmarkStart w:id="7" w:name="_Toc28466242"/>
      <w:r w:rsidRPr="00E17D53">
        <w:rPr>
          <w:rFonts w:ascii="Arial" w:hAnsi="Arial" w:cs="Arial"/>
          <w:color w:val="002060"/>
          <w:sz w:val="28"/>
          <w:szCs w:val="28"/>
          <w:lang w:val="en-US" w:eastAsia="ru-RU"/>
        </w:rPr>
        <w:t>A</w:t>
      </w:r>
      <w:r w:rsidRPr="00E17D53">
        <w:rPr>
          <w:rFonts w:ascii="Arial" w:hAnsi="Arial" w:cs="Arial"/>
          <w:color w:val="002060"/>
          <w:sz w:val="28"/>
          <w:szCs w:val="28"/>
          <w:lang w:eastAsia="ru-RU"/>
        </w:rPr>
        <w:t xml:space="preserve">. </w:t>
      </w:r>
      <w:r w:rsidR="00322E69" w:rsidRPr="00E17D53">
        <w:rPr>
          <w:rFonts w:ascii="Arial" w:hAnsi="Arial" w:cs="Arial"/>
          <w:color w:val="002060"/>
          <w:sz w:val="28"/>
          <w:szCs w:val="28"/>
          <w:lang w:eastAsia="ru-RU"/>
        </w:rPr>
        <w:t>Основные компоненты модели</w:t>
      </w:r>
      <w:bookmarkEnd w:id="7"/>
    </w:p>
    <w:p w:rsidR="009A1288" w:rsidRPr="006F61B3" w:rsidRDefault="009A1288" w:rsidP="00433A29">
      <w:pPr>
        <w:spacing w:line="276" w:lineRule="auto"/>
        <w:rPr>
          <w:rFonts w:ascii="Arial" w:hAnsi="Arial" w:cs="Arial"/>
          <w:sz w:val="26"/>
          <w:szCs w:val="26"/>
          <w:lang w:eastAsia="ru-RU"/>
        </w:rPr>
      </w:pP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три переменные – лимитные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заявки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поступают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c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λ за единицу цены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depositions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любой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имеет одинаковую вероятность отмениться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v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cancellations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μ скорость, с которой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заявки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поступают на рынок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trades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</w:p>
    <w:p w:rsidR="00FE0A73" w:rsidRPr="00433A29" w:rsidRDefault="00FE0A73" w:rsidP="00433A29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824C0C" w:rsidRPr="00433A29" w:rsidRDefault="00FE0A73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Основной гипотезой, которая лежала в основе </w:t>
      </w:r>
      <w:r w:rsidR="005E75A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старой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модели является существование медленно развивающейся скрытой книги ордеров, хранящей объем, которым участники рынка были бы готовы торговать по любой данной цене p. По мнению авторов, эта скрытая книга ордеров – это та «истинная» ликвидность рынка, которая отличается от реальной книги ордеров, в которой раскрывается только очень небольшая часть этой ликвидности, и которая развивается в очень быстрых временных масштабах. </w:t>
      </w:r>
    </w:p>
    <w:p w:rsidR="00FE0A73" w:rsidRPr="00433A29" w:rsidRDefault="00FE0A73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Эта гипотеза мотивируется рыночными данными, которые демонстрируют, что только очень небольшая часть объема, ежедневно торгуемого на рынке, мгновенно доступна в книге. Подавляющее большинство дневного объема торговли фактически постепенно проявляет себя в процессе торговли: ликвидность – это динамичный процесс. Очевидно, что трейдеры, как правило, скрывают свои намерения так долго, как могут, поскольку у них нет стимула слишком рано разглашать информацию, добавляя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в реальную книгу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ордеров.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Фактически, реальное решение торговать по определенной цене p в будущем само по себе может быть «скрытым». Объем в скрытой книге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ордеров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материализуется в реальной книге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ов с вероятностью, которая резко увеличивается, когда расстояние между торгуемой ценой и лимитной ценой уменьшается. </w:t>
      </w:r>
    </w:p>
    <w:p w:rsidR="00824C0C" w:rsidRPr="00433A29" w:rsidRDefault="00824C0C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Модель </w:t>
      </w:r>
      <w:r w:rsidR="00A8039B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развития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скрытой книги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ов основана на моделях «нулевого интеллекта» для реальной книги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ов. Скрытая книга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ов моделируется как дискретная ценовая сетка, заполненная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ордерами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двух видов (покупка или продажа) переменного размера. Временная эволюция книги продиктована тремя типами случайных процессов:</w:t>
      </w:r>
    </w:p>
    <w:p w:rsidR="00824C0C" w:rsidRPr="00433A29" w:rsidRDefault="00824C0C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• Вклад</w:t>
      </w:r>
      <w:r w:rsid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r w:rsid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deposition</w:t>
      </w:r>
      <w:r w:rsid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Инвестор, который потенциально заинтересован в покупке или продаже акций по цене p, размещает (виртуальный) лимитный ордер на единицу объема на этом уровне цен. </w:t>
      </w:r>
    </w:p>
    <w:p w:rsidR="00824C0C" w:rsidRPr="00433A29" w:rsidRDefault="00824C0C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• Отмена</w:t>
      </w:r>
      <w:r w:rsidR="00800DD5" w:rsidRP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r w:rsid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cancellation</w:t>
      </w:r>
      <w:r w:rsidR="00800DD5" w:rsidRP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: трейдеры могут удалять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которые присутствовали в скрытой книге ордеров. </w:t>
      </w:r>
    </w:p>
    <w:p w:rsidR="00824C0C" w:rsidRPr="00433A29" w:rsidRDefault="00824C0C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• Сделки</w:t>
      </w:r>
      <w:r w:rsidR="00800DD5" w:rsidRP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</w:t>
      </w:r>
      <w:r w:rsid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trades</w:t>
      </w:r>
      <w:r w:rsidR="00800DD5" w:rsidRPr="00800DD5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: рыночный ордер на покупку (продажу) может попасть в книгу, что приведет к сделке, которая уменьшит объем, доступный по лучшей цене предложения (заявки). По предположению,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следуют пуассоновскому процессу.</w:t>
      </w:r>
    </w:p>
    <w:p w:rsidR="00824C0C" w:rsidRPr="00433A29" w:rsidRDefault="00824C0C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lastRenderedPageBreak/>
        <w:t xml:space="preserve">Отсюда три переменные – лимитные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заявки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поступают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c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λ за единицу цены, любой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име</w:t>
      </w:r>
      <w:r w:rsidR="00322E69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ет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одинаковую вероятность </w:t>
      </w:r>
      <w:r w:rsidR="00322E69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отмениться</w:t>
      </w:r>
      <w:r w:rsidR="00322E69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  <w:t>v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μ скорость, с которой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заявки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поступают на рынок.</w:t>
      </w:r>
    </w:p>
    <w:p w:rsidR="00322E69" w:rsidRPr="00433A29" w:rsidRDefault="00322E69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 настоящей версии модели предполагае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 что скорость депозита лимитных ордеров не зависит от стороны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направления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потока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заявок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а скорость отмены не зависит от знака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="008C6772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Знак рыночных ордеров, с другой стороны, определяется нетривиальным процессом, таким как генерация корреляций на больши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х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расстояния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х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, в соответствии с эмпирическими данными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</w:p>
    <w:p w:rsidR="00A72ABE" w:rsidRPr="00433A29" w:rsidRDefault="00A72ABE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A72ABE" w:rsidRDefault="00A72ABE" w:rsidP="00433A29">
      <w:pPr>
        <w:spacing w:line="276" w:lineRule="auto"/>
        <w:ind w:firstLine="708"/>
        <w:jc w:val="center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noProof/>
          <w:color w:val="111111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3449320" cy="73275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28 в 22.31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02" cy="7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Pr="008A286B" w:rsidRDefault="007C2483" w:rsidP="00C150C7">
      <w:pPr>
        <w:spacing w:line="276" w:lineRule="auto"/>
        <w:ind w:firstLine="708"/>
        <w:jc w:val="center"/>
        <w:rPr>
          <w:rFonts w:ascii="Arial" w:eastAsia="Times New Roman" w:hAnsi="Arial" w:cs="Arial"/>
          <w:i/>
          <w:iCs/>
          <w:color w:val="002060"/>
          <w:shd w:val="clear" w:color="auto" w:fill="FFFFFF"/>
          <w:lang w:eastAsia="ru-RU"/>
        </w:rPr>
      </w:pPr>
      <w:r w:rsidRPr="008A286B">
        <w:rPr>
          <w:rFonts w:ascii="Arial" w:eastAsia="Times New Roman" w:hAnsi="Arial" w:cs="Arial"/>
          <w:i/>
          <w:iCs/>
          <w:color w:val="002060"/>
          <w:shd w:val="clear" w:color="auto" w:fill="FFFFFF"/>
          <w:lang w:eastAsia="ru-RU"/>
        </w:rPr>
        <w:t>Формула 2</w:t>
      </w:r>
    </w:p>
    <w:p w:rsidR="009A5367" w:rsidRPr="007C2483" w:rsidRDefault="009A5367" w:rsidP="007C2483">
      <w:pPr>
        <w:spacing w:line="276" w:lineRule="auto"/>
        <w:ind w:firstLine="708"/>
        <w:jc w:val="right"/>
        <w:rPr>
          <w:rFonts w:ascii="Arial" w:eastAsia="Times New Roman" w:hAnsi="Arial" w:cs="Arial"/>
          <w:b/>
          <w:bCs/>
          <w:i/>
          <w:iCs/>
          <w:color w:val="0070C0"/>
          <w:sz w:val="26"/>
          <w:szCs w:val="26"/>
          <w:shd w:val="clear" w:color="auto" w:fill="FFFFFF"/>
          <w:lang w:eastAsia="ru-RU"/>
        </w:rPr>
      </w:pPr>
    </w:p>
    <w:p w:rsidR="00A72ABE" w:rsidRPr="00433A29" w:rsidRDefault="00A72ABE" w:rsidP="00E1366F">
      <w:pPr>
        <w:spacing w:line="276" w:lineRule="auto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ab/>
        <w:t xml:space="preserve">Данное уравнение также используется в данной модели, с помощью него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можно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манипулировать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агрессивность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ю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рыночных ордеров через один параметр ζ, который позволяет интерполировать случай, когда каждый рыночный ордер имеет единичный объем (ζ = ∞), и случай, когда каждый рыночный ордер полностью исчерпывает объем в противоположном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случае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(ζ = 0). Интуитивно понятно, что большие значения ζ (т.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  <w:r w:rsidR="008C6772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н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ебольшие объемы для каждой сделки) уменьшают влияние каждой сделки и, следовательно, волатильность рынка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</w:p>
    <w:p w:rsidR="00322E69" w:rsidRPr="00433A29" w:rsidRDefault="00322E69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Другим компонентом модели является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доля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объема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торгов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потребляемого каждым отдельным рыночным ордером. Коэффициент отмены определяет масштаб времени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τν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= ν − 1, который имеет решающее значение для модели, поскольку это время памяти рынка.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инамик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системы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изучается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 режиме, когда времена малы по сравнению с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τν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val="en-US" w:eastAsia="ru-RU"/>
        </w:rPr>
      </w:pPr>
    </w:p>
    <w:p w:rsidR="009A1288" w:rsidRPr="00433A29" w:rsidRDefault="008A4595" w:rsidP="00433A29">
      <w:pPr>
        <w:pStyle w:val="3"/>
        <w:spacing w:line="276" w:lineRule="auto"/>
        <w:rPr>
          <w:rFonts w:ascii="Arial" w:eastAsia="Times New Roman" w:hAnsi="Arial" w:cs="Arial"/>
          <w:sz w:val="26"/>
          <w:szCs w:val="26"/>
          <w:shd w:val="clear" w:color="auto" w:fill="FFFFFF"/>
          <w:lang w:eastAsia="ru-RU"/>
        </w:rPr>
      </w:pPr>
      <w:bookmarkStart w:id="8" w:name="_Toc28466243"/>
      <w:r w:rsidRPr="00433A29">
        <w:rPr>
          <w:rFonts w:ascii="Arial" w:eastAsia="Times New Roman" w:hAnsi="Arial" w:cs="Arial"/>
          <w:sz w:val="26"/>
          <w:szCs w:val="26"/>
          <w:shd w:val="clear" w:color="auto" w:fill="FFFFFF"/>
          <w:lang w:val="en-US" w:eastAsia="ru-RU"/>
        </w:rPr>
        <w:t>B</w:t>
      </w:r>
      <w:r w:rsidRPr="00433A29">
        <w:rPr>
          <w:rFonts w:ascii="Arial" w:eastAsia="Times New Roman" w:hAnsi="Arial" w:cs="Arial"/>
          <w:sz w:val="26"/>
          <w:szCs w:val="26"/>
          <w:shd w:val="clear" w:color="auto" w:fill="FFFFFF"/>
          <w:lang w:eastAsia="ru-RU"/>
        </w:rPr>
        <w:t xml:space="preserve">. </w:t>
      </w:r>
      <w:r w:rsidR="009A1288" w:rsidRPr="00433A29">
        <w:rPr>
          <w:rFonts w:ascii="Arial" w:eastAsia="Times New Roman" w:hAnsi="Arial" w:cs="Arial"/>
          <w:sz w:val="26"/>
          <w:szCs w:val="26"/>
          <w:shd w:val="clear" w:color="auto" w:fill="FFFFFF"/>
          <w:lang w:eastAsia="ru-RU"/>
        </w:rPr>
        <w:t xml:space="preserve">Супер-диффузия против </w:t>
      </w:r>
      <w:proofErr w:type="spellStart"/>
      <w:r w:rsidR="009A1288" w:rsidRPr="00433A29">
        <w:rPr>
          <w:rFonts w:ascii="Arial" w:eastAsia="Times New Roman" w:hAnsi="Arial" w:cs="Arial"/>
          <w:sz w:val="26"/>
          <w:szCs w:val="26"/>
          <w:shd w:val="clear" w:color="auto" w:fill="FFFFFF"/>
          <w:lang w:eastAsia="ru-RU"/>
        </w:rPr>
        <w:t>суб</w:t>
      </w:r>
      <w:proofErr w:type="spellEnd"/>
      <w:r w:rsidR="009A1288" w:rsidRPr="00433A29">
        <w:rPr>
          <w:rFonts w:ascii="Arial" w:eastAsia="Times New Roman" w:hAnsi="Arial" w:cs="Arial"/>
          <w:sz w:val="26"/>
          <w:szCs w:val="26"/>
          <w:shd w:val="clear" w:color="auto" w:fill="FFFFFF"/>
          <w:lang w:eastAsia="ru-RU"/>
        </w:rPr>
        <w:t>-диффузии цен</w:t>
      </w:r>
      <w:bookmarkEnd w:id="8"/>
    </w:p>
    <w:p w:rsidR="009A1288" w:rsidRPr="00433A29" w:rsidRDefault="009A1288" w:rsidP="00433A29">
      <w:pPr>
        <w:spacing w:line="276" w:lineRule="auto"/>
        <w:ind w:left="360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val="en-US" w:eastAsia="ru-RU"/>
        </w:rPr>
      </w:pP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Отступление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val="en-US" w:eastAsia="ru-RU"/>
        </w:rPr>
        <w:t>:</w:t>
      </w: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Что такое супер-диффузия</w:t>
      </w:r>
      <w:r w:rsidR="0098169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 </w:t>
      </w:r>
      <w:proofErr w:type="spellStart"/>
      <w:r w:rsidR="0098169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</w:t>
      </w:r>
      <w:proofErr w:type="spellEnd"/>
      <w:r w:rsidR="00981695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-диффузия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?</w:t>
      </w:r>
    </w:p>
    <w:p w:rsidR="00981695" w:rsidRPr="00433A29" w:rsidRDefault="00981695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Основной закон броуновского движения в однородной среде — гауссова форма диффузионного пакета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Класс явлений, в которых средний квадрат смещений не является линейной функцией от времени, а описывается степенным законом был назван аномальной диффузией, которая может быть двух типов —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супердиффузия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(ускоренное блуждание) и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субдиффузия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(замедленное блуждание).</w:t>
      </w: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981695" w:rsidRPr="00433A29" w:rsidRDefault="00981695" w:rsidP="00433A29">
      <w:pPr>
        <w:spacing w:line="276" w:lineRule="auto"/>
        <w:ind w:firstLine="708"/>
        <w:jc w:val="both"/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val="en-US" w:eastAsia="ru-RU"/>
        </w:rPr>
      </w:pP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lastRenderedPageBreak/>
        <w:t>Конец о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тступлен</w:t>
      </w:r>
      <w:r w:rsidRPr="00433A29">
        <w:rPr>
          <w:rFonts w:ascii="Arial" w:eastAsia="Times New Roman" w:hAnsi="Arial" w:cs="Arial"/>
          <w:i/>
          <w:iCs/>
          <w:color w:val="111111"/>
          <w:sz w:val="26"/>
          <w:szCs w:val="26"/>
          <w:shd w:val="clear" w:color="auto" w:fill="FFFFFF"/>
          <w:lang w:eastAsia="ru-RU"/>
        </w:rPr>
        <w:t>ия</w:t>
      </w: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9A1288" w:rsidRPr="00433A29" w:rsidRDefault="009A1288" w:rsidP="008E0A36">
      <w:pPr>
        <w:ind w:firstLine="708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Сначала исследуе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тся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статистик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изменения цен в модели</w:t>
      </w:r>
      <w:r w:rsidR="008C6772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искусственного рынка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в частности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вариограмм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D (t)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:</w:t>
      </w: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9A1288" w:rsidRDefault="009A1288" w:rsidP="00433A29">
      <w:pPr>
        <w:spacing w:line="276" w:lineRule="auto"/>
        <w:ind w:firstLine="708"/>
        <w:jc w:val="center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noProof/>
          <w:color w:val="111111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3714045" cy="752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28 в 22.08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18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E1" w:rsidRPr="008A286B" w:rsidRDefault="00D658E1" w:rsidP="00C150C7">
      <w:pPr>
        <w:spacing w:line="276" w:lineRule="auto"/>
        <w:ind w:firstLine="708"/>
        <w:jc w:val="center"/>
        <w:rPr>
          <w:rFonts w:ascii="Arial" w:eastAsia="Times New Roman" w:hAnsi="Arial" w:cs="Arial"/>
          <w:i/>
          <w:iCs/>
          <w:color w:val="002060"/>
          <w:shd w:val="clear" w:color="auto" w:fill="FFFFFF"/>
          <w:lang w:eastAsia="ru-RU"/>
        </w:rPr>
      </w:pPr>
      <w:r w:rsidRPr="008A286B">
        <w:rPr>
          <w:rFonts w:ascii="Arial" w:eastAsia="Times New Roman" w:hAnsi="Arial" w:cs="Arial"/>
          <w:i/>
          <w:iCs/>
          <w:color w:val="002060"/>
          <w:shd w:val="clear" w:color="auto" w:fill="FFFFFF"/>
          <w:lang w:eastAsia="ru-RU"/>
        </w:rPr>
        <w:t>Формула 3</w:t>
      </w:r>
    </w:p>
    <w:p w:rsidR="009A1288" w:rsidRPr="00433A29" w:rsidRDefault="009A1288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981695" w:rsidRPr="00433A29" w:rsidRDefault="00981695" w:rsidP="00E1366F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Г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де усреднение </w:t>
      </w:r>
      <w:r w:rsidR="002C4E57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происходит 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либо по t0 для одной траектории (как с реальными эмпирическими данными), либо по различным траекториям для данного t0 - но в обоих случаях t0 должно быть выбрано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таким образом, что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τν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(масштаб времени) находился 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 стационарном состоянии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Полезная величина σt2 = D (t) / t</w:t>
      </w:r>
      <w:r w:rsidR="00A66861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котор</w:t>
      </w:r>
      <w:r w:rsidR="00A66861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ую</w:t>
      </w:r>
      <w:r w:rsidR="009A1288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можно рассматривать как меру квадратичной волатильности по шкале времени t. Для чисто диффузионного процесса (например, броуновского движения) σt2 строго независим</w:t>
      </w:r>
      <w:r w:rsidRPr="00433A29">
        <w:rPr>
          <w:rFonts w:ascii="Arial" w:hAnsi="Arial" w:cs="Arial"/>
          <w:sz w:val="26"/>
          <w:szCs w:val="26"/>
        </w:rPr>
        <w:t xml:space="preserve">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от «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уб</w:t>
      </w:r>
      <w:proofErr w:type="spellEnd"/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диффузионн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ого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» процесс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а.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σt2 является убывающей функцией t, сигнализир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ующий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 среднем обращении, тогда как «супер</w:t>
      </w:r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диффузионный» процесс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имеет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σt2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как </w:t>
      </w:r>
      <w:r w:rsidR="00D161CF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возрастающую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функци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ю от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t, сигнализиру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ющий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о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трендах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Простой пример дает дробное броуновское движение, которое таково, что D (t) </w:t>
      </w:r>
      <w:r w:rsidRPr="00433A29">
        <w:rPr>
          <w:rFonts w:ascii="Cambria Math" w:eastAsia="Times New Roman" w:hAnsi="Cambria Math" w:cs="Cambria Math"/>
          <w:color w:val="111111"/>
          <w:sz w:val="26"/>
          <w:szCs w:val="26"/>
          <w:shd w:val="clear" w:color="auto" w:fill="FFFFFF"/>
          <w:lang w:eastAsia="ru-RU"/>
        </w:rPr>
        <w:t>∝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t2H, где H - показатель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Херста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процесса. Обычный броуновский случай соответствует H = 1/2; H&gt; 1/2 (</w:t>
      </w:r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и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соотв. H &lt;1/2) равносильно супер-диффузии</w:t>
      </w:r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(и соотв. </w:t>
      </w:r>
      <w:proofErr w:type="spellStart"/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</w:t>
      </w:r>
      <w:proofErr w:type="spellEnd"/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-диффузии)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.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Также возможно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, что процесс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может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ста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ть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диффузионным в течение длительного времени, т.е. σt2 стремится к конечному ненулевому значению σ∞2, когда t → ∞.</w:t>
      </w:r>
    </w:p>
    <w:p w:rsidR="00322E69" w:rsidRPr="00433A29" w:rsidRDefault="00981695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Вышеупомянутая модель динамической ликвидности содержит компонент, который благоприятствует супер</w:t>
      </w:r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диффузии (коррелирующая природа потока </w:t>
      </w:r>
      <w:r w:rsidR="00E56A8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заявок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большие расстояния), и компонент, который благоприятствует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суб</w:t>
      </w:r>
      <w:proofErr w:type="spellEnd"/>
      <w:r w:rsidR="00D161CF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-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диффузии (длительное время памяти самой книги). </w:t>
      </w:r>
    </w:p>
    <w:p w:rsidR="00981695" w:rsidRPr="00433A29" w:rsidRDefault="00981695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В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этом </w:t>
      </w:r>
      <w:proofErr w:type="spellStart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фрэймворке</w:t>
      </w:r>
      <w:proofErr w:type="spellEnd"/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покупку и продажу описываются как </w:t>
      </w:r>
      <w:r w:rsidR="008D5C5A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переменные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типа A и B, распространяющиеся вдоль бесконечной ценовой линии. Условия рыночного клиринга затем моделируются, предполагая, что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на покупку и продажу уничтожают друг друга, как только они встречаются (A + B → </w:t>
      </w:r>
      <w:r w:rsidRPr="00433A29">
        <w:rPr>
          <w:rFonts w:ascii="Cambria Math" w:eastAsia="Times New Roman" w:hAnsi="Cambria Math" w:cs="Cambria Math"/>
          <w:color w:val="111111"/>
          <w:sz w:val="26"/>
          <w:szCs w:val="26"/>
          <w:shd w:val="clear" w:color="auto" w:fill="FFFFFF"/>
          <w:lang w:eastAsia="ru-RU"/>
        </w:rPr>
        <w:t>∅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). </w:t>
      </w:r>
      <w:r w:rsidR="00A72ABE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В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рассматриваемой здесь модели книги </w:t>
      </w:r>
      <w:r w:rsidR="006F61B3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ов </w:t>
      </w:r>
      <w:r w:rsidR="0069541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ордеры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 не «диффундируют» напрямую</w:t>
      </w:r>
      <w:r w:rsidR="00A72ABE"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.</w:t>
      </w:r>
    </w:p>
    <w:p w:rsidR="00981695" w:rsidRPr="00433A29" w:rsidRDefault="00981695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 xml:space="preserve">Авторам не удалось </w:t>
      </w:r>
      <w:r w:rsidRPr="00433A29"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  <w:t>построить убедительный аргумент, который показал бы, что две модели находятся в одном классе универсальности, и сходство между ними может вводить в заблуждение.</w:t>
      </w:r>
    </w:p>
    <w:p w:rsidR="00824C0C" w:rsidRDefault="00824C0C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C14EAB" w:rsidRPr="00433A29" w:rsidRDefault="00C14EAB" w:rsidP="00433A29">
      <w:pPr>
        <w:spacing w:line="276" w:lineRule="auto"/>
        <w:ind w:firstLine="708"/>
        <w:jc w:val="both"/>
        <w:rPr>
          <w:rFonts w:ascii="Arial" w:eastAsia="Times New Roman" w:hAnsi="Arial" w:cs="Arial"/>
          <w:color w:val="111111"/>
          <w:sz w:val="26"/>
          <w:szCs w:val="26"/>
          <w:shd w:val="clear" w:color="auto" w:fill="FFFFFF"/>
          <w:lang w:eastAsia="ru-RU"/>
        </w:rPr>
      </w:pPr>
    </w:p>
    <w:p w:rsidR="00FE0A73" w:rsidRPr="008E0A36" w:rsidRDefault="00A72ABE" w:rsidP="008E0A36">
      <w:pPr>
        <w:pStyle w:val="3"/>
        <w:rPr>
          <w:sz w:val="28"/>
          <w:szCs w:val="28"/>
        </w:rPr>
      </w:pPr>
      <w:bookmarkStart w:id="9" w:name="_Toc28466244"/>
      <w:r w:rsidRPr="008E0A36">
        <w:rPr>
          <w:sz w:val="28"/>
          <w:szCs w:val="28"/>
        </w:rPr>
        <w:lastRenderedPageBreak/>
        <w:t xml:space="preserve">С. </w:t>
      </w:r>
      <w:r w:rsidRPr="008E0A36">
        <w:rPr>
          <w:sz w:val="28"/>
          <w:szCs w:val="28"/>
        </w:rPr>
        <w:t>Диффузные цены и эффективность рынка</w:t>
      </w:r>
      <w:bookmarkEnd w:id="9"/>
    </w:p>
    <w:p w:rsidR="00A72ABE" w:rsidRPr="00433A29" w:rsidRDefault="00A72ABE" w:rsidP="00433A29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A72ABE" w:rsidRPr="00433A29" w:rsidRDefault="00A72ABE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С финансовой точки зрения, как </w:t>
      </w:r>
      <w:proofErr w:type="spellStart"/>
      <w:r w:rsidRPr="00433A29">
        <w:rPr>
          <w:rFonts w:ascii="Arial" w:hAnsi="Arial" w:cs="Arial"/>
          <w:sz w:val="26"/>
          <w:szCs w:val="26"/>
        </w:rPr>
        <w:t>супердиффузия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, так и </w:t>
      </w:r>
      <w:proofErr w:type="spellStart"/>
      <w:r w:rsidRPr="00433A29">
        <w:rPr>
          <w:rFonts w:ascii="Arial" w:hAnsi="Arial" w:cs="Arial"/>
          <w:sz w:val="26"/>
          <w:szCs w:val="26"/>
        </w:rPr>
        <w:t>субдиффузия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приводят к арбитражным возможностям, то есть стратегиям, которые пытаются извлечь выгоду из тенденций или паттернов среднего возврата</w:t>
      </w:r>
      <w:r w:rsidRPr="00433A29">
        <w:rPr>
          <w:rFonts w:ascii="Arial" w:hAnsi="Arial" w:cs="Arial"/>
          <w:sz w:val="26"/>
          <w:szCs w:val="26"/>
        </w:rPr>
        <w:t xml:space="preserve"> (</w:t>
      </w:r>
      <w:r w:rsidRPr="00433A29">
        <w:rPr>
          <w:rFonts w:ascii="Arial" w:hAnsi="Arial" w:cs="Arial"/>
          <w:sz w:val="26"/>
          <w:szCs w:val="26"/>
          <w:lang w:val="en-US"/>
        </w:rPr>
        <w:t>H</w:t>
      </w:r>
      <w:r w:rsidRPr="00433A29">
        <w:rPr>
          <w:rFonts w:ascii="Arial" w:hAnsi="Arial" w:cs="Arial"/>
          <w:sz w:val="26"/>
          <w:szCs w:val="26"/>
        </w:rPr>
        <w:t xml:space="preserve"> ̸ = 1/2</w:t>
      </w:r>
      <w:r w:rsidRPr="00433A29">
        <w:rPr>
          <w:rFonts w:ascii="Arial" w:hAnsi="Arial" w:cs="Arial"/>
          <w:sz w:val="26"/>
          <w:szCs w:val="26"/>
        </w:rPr>
        <w:t xml:space="preserve">). </w:t>
      </w:r>
    </w:p>
    <w:p w:rsidR="00A72ABE" w:rsidRPr="00433A29" w:rsidRDefault="009C0D8E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Моделируемые п</w:t>
      </w:r>
      <w:r w:rsidR="00A72ABE" w:rsidRPr="00433A29">
        <w:rPr>
          <w:rFonts w:ascii="Arial" w:hAnsi="Arial" w:cs="Arial"/>
          <w:sz w:val="26"/>
          <w:szCs w:val="26"/>
        </w:rPr>
        <w:t xml:space="preserve">равила торговли должны быть такими, чтобы простые стратегии не приносили прибыли, т. </w:t>
      </w:r>
      <w:r w:rsidR="00A72ABE" w:rsidRPr="00433A29">
        <w:rPr>
          <w:rFonts w:ascii="Arial" w:hAnsi="Arial" w:cs="Arial"/>
          <w:sz w:val="26"/>
          <w:szCs w:val="26"/>
        </w:rPr>
        <w:t>е</w:t>
      </w:r>
      <w:r w:rsidR="00A72ABE" w:rsidRPr="00433A29">
        <w:rPr>
          <w:rFonts w:ascii="Arial" w:hAnsi="Arial" w:cs="Arial"/>
          <w:sz w:val="26"/>
          <w:szCs w:val="26"/>
        </w:rPr>
        <w:t xml:space="preserve">. </w:t>
      </w:r>
      <w:r w:rsidR="00A72ABE" w:rsidRPr="00433A29">
        <w:rPr>
          <w:rFonts w:ascii="Arial" w:hAnsi="Arial" w:cs="Arial"/>
          <w:sz w:val="26"/>
          <w:szCs w:val="26"/>
        </w:rPr>
        <w:t>ц</w:t>
      </w:r>
      <w:r w:rsidR="00A72ABE" w:rsidRPr="00433A29">
        <w:rPr>
          <w:rFonts w:ascii="Arial" w:hAnsi="Arial" w:cs="Arial"/>
          <w:sz w:val="26"/>
          <w:szCs w:val="26"/>
        </w:rPr>
        <w:t>ены близки к случайным шагам с H ≈ 1/2, свойством, которое часто называют «статистической эффективностью»</w:t>
      </w:r>
      <w:r w:rsidR="00A72ABE" w:rsidRPr="00433A29">
        <w:rPr>
          <w:rFonts w:ascii="Arial" w:hAnsi="Arial" w:cs="Arial"/>
          <w:sz w:val="26"/>
          <w:szCs w:val="26"/>
        </w:rPr>
        <w:t>.</w:t>
      </w:r>
      <w:r w:rsidR="00A72ABE" w:rsidRPr="00433A29">
        <w:rPr>
          <w:rFonts w:ascii="Arial" w:hAnsi="Arial" w:cs="Arial"/>
          <w:sz w:val="26"/>
          <w:szCs w:val="26"/>
        </w:rPr>
        <w:t xml:space="preserve"> В исходных настройках модели есть два параметра γ и ζ</w:t>
      </w:r>
      <w:r w:rsidR="00A72ABE" w:rsidRPr="00433A29">
        <w:rPr>
          <w:rFonts w:ascii="Arial" w:hAnsi="Arial" w:cs="Arial"/>
          <w:sz w:val="26"/>
          <w:szCs w:val="26"/>
        </w:rPr>
        <w:t xml:space="preserve"> (степенная </w:t>
      </w:r>
      <w:proofErr w:type="spellStart"/>
      <w:r w:rsidR="00A72ABE" w:rsidRPr="00433A29">
        <w:rPr>
          <w:rFonts w:ascii="Arial" w:hAnsi="Arial" w:cs="Arial"/>
          <w:sz w:val="26"/>
          <w:szCs w:val="26"/>
        </w:rPr>
        <w:t>автокор</w:t>
      </w:r>
      <w:proofErr w:type="spellEnd"/>
      <w:proofErr w:type="gramStart"/>
      <w:r w:rsidR="008F6340">
        <w:rPr>
          <w:rFonts w:ascii="Arial" w:hAnsi="Arial" w:cs="Arial"/>
          <w:sz w:val="26"/>
          <w:szCs w:val="26"/>
        </w:rPr>
        <w:t>.</w:t>
      </w:r>
      <w:proofErr w:type="gramEnd"/>
      <w:r w:rsidR="00A72ABE" w:rsidRPr="00433A29">
        <w:rPr>
          <w:rFonts w:ascii="Arial" w:hAnsi="Arial" w:cs="Arial"/>
          <w:sz w:val="26"/>
          <w:szCs w:val="26"/>
        </w:rPr>
        <w:t xml:space="preserve"> и параметр сглаживания различных стилей поведения на рынке)</w:t>
      </w:r>
      <w:r w:rsidR="00A72ABE" w:rsidRPr="00433A29">
        <w:rPr>
          <w:rFonts w:ascii="Arial" w:hAnsi="Arial" w:cs="Arial"/>
          <w:sz w:val="26"/>
          <w:szCs w:val="26"/>
        </w:rPr>
        <w:t xml:space="preserve"> с которыми </w:t>
      </w:r>
      <w:r w:rsidR="00A72ABE" w:rsidRPr="00433A29">
        <w:rPr>
          <w:rFonts w:ascii="Arial" w:hAnsi="Arial" w:cs="Arial"/>
          <w:sz w:val="26"/>
          <w:szCs w:val="26"/>
        </w:rPr>
        <w:t>можно</w:t>
      </w:r>
      <w:r w:rsidR="00A72ABE" w:rsidRPr="00433A29">
        <w:rPr>
          <w:rFonts w:ascii="Arial" w:hAnsi="Arial" w:cs="Arial"/>
          <w:sz w:val="26"/>
          <w:szCs w:val="26"/>
        </w:rPr>
        <w:t xml:space="preserve"> </w:t>
      </w:r>
      <w:r w:rsidR="008F6340" w:rsidRPr="008F6340">
        <w:rPr>
          <w:rFonts w:ascii="Arial" w:hAnsi="Arial" w:cs="Arial"/>
          <w:sz w:val="26"/>
          <w:szCs w:val="26"/>
        </w:rPr>
        <w:t>“</w:t>
      </w:r>
      <w:r w:rsidR="008F6340">
        <w:rPr>
          <w:rFonts w:ascii="Arial" w:hAnsi="Arial" w:cs="Arial"/>
          <w:sz w:val="26"/>
          <w:szCs w:val="26"/>
        </w:rPr>
        <w:t>по</w:t>
      </w:r>
      <w:r w:rsidR="00A72ABE" w:rsidRPr="00433A29">
        <w:rPr>
          <w:rFonts w:ascii="Arial" w:hAnsi="Arial" w:cs="Arial"/>
          <w:sz w:val="26"/>
          <w:szCs w:val="26"/>
        </w:rPr>
        <w:t>играть</w:t>
      </w:r>
      <w:r w:rsidR="008F6340" w:rsidRPr="008F6340">
        <w:rPr>
          <w:rFonts w:ascii="Arial" w:hAnsi="Arial" w:cs="Arial"/>
          <w:sz w:val="26"/>
          <w:szCs w:val="26"/>
        </w:rPr>
        <w:t>”</w:t>
      </w:r>
      <w:r w:rsidR="00A72ABE" w:rsidRPr="00433A29">
        <w:rPr>
          <w:rFonts w:ascii="Arial" w:hAnsi="Arial" w:cs="Arial"/>
          <w:sz w:val="26"/>
          <w:szCs w:val="26"/>
        </w:rPr>
        <w:t xml:space="preserve">, что позволяет настроить относительную силу трендовых эффектов, вызванных рыночными </w:t>
      </w:r>
      <w:r w:rsidR="00695419">
        <w:rPr>
          <w:rFonts w:ascii="Arial" w:hAnsi="Arial" w:cs="Arial"/>
          <w:sz w:val="26"/>
          <w:szCs w:val="26"/>
        </w:rPr>
        <w:t>ордерами</w:t>
      </w:r>
      <w:r w:rsidR="00A72ABE" w:rsidRPr="00433A29">
        <w:rPr>
          <w:rFonts w:ascii="Arial" w:hAnsi="Arial" w:cs="Arial"/>
          <w:sz w:val="26"/>
          <w:szCs w:val="26"/>
        </w:rPr>
        <w:t xml:space="preserve">, и средних сил реверсии, вызванных </w:t>
      </w:r>
      <w:r w:rsidR="00A72ABE" w:rsidRPr="00433A29">
        <w:rPr>
          <w:rFonts w:ascii="Arial" w:hAnsi="Arial" w:cs="Arial"/>
          <w:sz w:val="26"/>
          <w:szCs w:val="26"/>
        </w:rPr>
        <w:t>лимитными</w:t>
      </w:r>
      <w:r w:rsidR="00A72ABE" w:rsidRPr="00433A29">
        <w:rPr>
          <w:rFonts w:ascii="Arial" w:hAnsi="Arial" w:cs="Arial"/>
          <w:sz w:val="26"/>
          <w:szCs w:val="26"/>
        </w:rPr>
        <w:t xml:space="preserve"> </w:t>
      </w:r>
      <w:r w:rsidR="00695419">
        <w:rPr>
          <w:rFonts w:ascii="Arial" w:hAnsi="Arial" w:cs="Arial"/>
          <w:sz w:val="26"/>
          <w:szCs w:val="26"/>
        </w:rPr>
        <w:t>ордерами</w:t>
      </w:r>
      <w:r w:rsidR="00A72ABE" w:rsidRPr="00433A29">
        <w:rPr>
          <w:rFonts w:ascii="Arial" w:hAnsi="Arial" w:cs="Arial"/>
          <w:sz w:val="26"/>
          <w:szCs w:val="26"/>
        </w:rPr>
        <w:t xml:space="preserve">. </w:t>
      </w:r>
      <w:r w:rsidR="00A72ABE" w:rsidRPr="00433A29">
        <w:rPr>
          <w:rFonts w:ascii="Arial" w:hAnsi="Arial" w:cs="Arial"/>
          <w:sz w:val="26"/>
          <w:szCs w:val="26"/>
        </w:rPr>
        <w:t>Э</w:t>
      </w:r>
      <w:r w:rsidR="00A72ABE" w:rsidRPr="00433A29">
        <w:rPr>
          <w:rFonts w:ascii="Arial" w:hAnsi="Arial" w:cs="Arial"/>
          <w:sz w:val="26"/>
          <w:szCs w:val="26"/>
        </w:rPr>
        <w:t xml:space="preserve">мпирически установлено, что γ меньше единицы, рынки должны четко работать в режиме </w:t>
      </w:r>
      <w:proofErr w:type="spellStart"/>
      <w:r w:rsidR="00A72ABE" w:rsidRPr="00433A29">
        <w:rPr>
          <w:rFonts w:ascii="Arial" w:hAnsi="Arial" w:cs="Arial"/>
          <w:sz w:val="26"/>
          <w:szCs w:val="26"/>
        </w:rPr>
        <w:t>τν</w:t>
      </w:r>
      <w:proofErr w:type="spellEnd"/>
      <w:r w:rsidR="00A72ABE" w:rsidRPr="00433A29">
        <w:rPr>
          <w:rFonts w:ascii="Arial" w:hAnsi="Arial" w:cs="Arial"/>
          <w:sz w:val="26"/>
          <w:szCs w:val="26"/>
        </w:rPr>
        <w:t xml:space="preserve"> </w:t>
      </w:r>
      <w:r w:rsidR="00A72ABE" w:rsidRPr="00433A29">
        <w:rPr>
          <w:rFonts w:ascii="Cambria Math" w:hAnsi="Cambria Math" w:cs="Cambria Math"/>
          <w:sz w:val="26"/>
          <w:szCs w:val="26"/>
        </w:rPr>
        <w:t>≫</w:t>
      </w:r>
      <w:r w:rsidR="00A72ABE" w:rsidRPr="00433A29">
        <w:rPr>
          <w:rFonts w:ascii="Arial" w:hAnsi="Arial" w:cs="Arial"/>
          <w:sz w:val="26"/>
          <w:szCs w:val="26"/>
        </w:rPr>
        <w:t xml:space="preserve"> µ − 1, в противном случае обязательно возникнет </w:t>
      </w:r>
      <w:r w:rsidR="00543E2E">
        <w:rPr>
          <w:rFonts w:ascii="Arial" w:hAnsi="Arial" w:cs="Arial"/>
          <w:sz w:val="26"/>
          <w:szCs w:val="26"/>
        </w:rPr>
        <w:t>супер-</w:t>
      </w:r>
      <w:r w:rsidR="00A72ABE" w:rsidRPr="00433A29">
        <w:rPr>
          <w:rFonts w:ascii="Arial" w:hAnsi="Arial" w:cs="Arial"/>
          <w:sz w:val="26"/>
          <w:szCs w:val="26"/>
        </w:rPr>
        <w:t>диффузионное поведение с H = 1 - γ / 2.</w:t>
      </w:r>
    </w:p>
    <w:p w:rsidR="00A72ABE" w:rsidRPr="00433A29" w:rsidRDefault="00064DB0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>С</w:t>
      </w:r>
      <w:r w:rsidR="00A72ABE" w:rsidRPr="00433A29">
        <w:rPr>
          <w:rFonts w:ascii="Arial" w:hAnsi="Arial" w:cs="Arial"/>
          <w:sz w:val="26"/>
          <w:szCs w:val="26"/>
        </w:rPr>
        <w:t>уществу</w:t>
      </w:r>
      <w:r w:rsidRPr="00433A29">
        <w:rPr>
          <w:rFonts w:ascii="Arial" w:hAnsi="Arial" w:cs="Arial"/>
          <w:sz w:val="26"/>
          <w:szCs w:val="26"/>
        </w:rPr>
        <w:t>е</w:t>
      </w:r>
      <w:r w:rsidR="00A72ABE" w:rsidRPr="00433A29">
        <w:rPr>
          <w:rFonts w:ascii="Arial" w:hAnsi="Arial" w:cs="Arial"/>
          <w:sz w:val="26"/>
          <w:szCs w:val="26"/>
        </w:rPr>
        <w:t xml:space="preserve">т критическая линия в плоскости γ, отделяющая фазу, где цена является </w:t>
      </w:r>
      <w:r w:rsidR="00543E2E">
        <w:rPr>
          <w:rFonts w:ascii="Arial" w:hAnsi="Arial" w:cs="Arial"/>
          <w:sz w:val="26"/>
          <w:szCs w:val="26"/>
        </w:rPr>
        <w:t>супер-</w:t>
      </w:r>
      <w:r w:rsidR="00A72ABE" w:rsidRPr="00433A29">
        <w:rPr>
          <w:rFonts w:ascii="Arial" w:hAnsi="Arial" w:cs="Arial"/>
          <w:sz w:val="26"/>
          <w:szCs w:val="26"/>
        </w:rPr>
        <w:t xml:space="preserve">диффузионной (ниже этой линии), и фазу, где она является </w:t>
      </w:r>
      <w:proofErr w:type="spellStart"/>
      <w:r w:rsidR="00A72ABE" w:rsidRPr="00433A29">
        <w:rPr>
          <w:rFonts w:ascii="Arial" w:hAnsi="Arial" w:cs="Arial"/>
          <w:sz w:val="26"/>
          <w:szCs w:val="26"/>
        </w:rPr>
        <w:t>субдиффузионной</w:t>
      </w:r>
      <w:proofErr w:type="spellEnd"/>
      <w:r w:rsidR="00A72ABE" w:rsidRPr="00433A29">
        <w:rPr>
          <w:rFonts w:ascii="Arial" w:hAnsi="Arial" w:cs="Arial"/>
          <w:sz w:val="26"/>
          <w:szCs w:val="26"/>
        </w:rPr>
        <w:t xml:space="preserve"> (выше этой линии).  Таким образом, </w:t>
      </w:r>
      <w:r w:rsidRPr="00433A29">
        <w:rPr>
          <w:rFonts w:ascii="Arial" w:hAnsi="Arial" w:cs="Arial"/>
          <w:sz w:val="26"/>
          <w:szCs w:val="26"/>
        </w:rPr>
        <w:t xml:space="preserve">искусственно построенный </w:t>
      </w:r>
      <w:r w:rsidR="00A72ABE" w:rsidRPr="00433A29">
        <w:rPr>
          <w:rFonts w:ascii="Arial" w:hAnsi="Arial" w:cs="Arial"/>
          <w:sz w:val="26"/>
          <w:szCs w:val="26"/>
        </w:rPr>
        <w:t>рынок оказывается «жизнеспособным»</w:t>
      </w:r>
      <w:r w:rsidRPr="00433A29">
        <w:rPr>
          <w:rFonts w:ascii="Arial" w:hAnsi="Arial" w:cs="Arial"/>
          <w:sz w:val="26"/>
          <w:szCs w:val="26"/>
        </w:rPr>
        <w:t xml:space="preserve"> </w:t>
      </w:r>
      <w:r w:rsidR="00A72ABE" w:rsidRPr="00433A29">
        <w:rPr>
          <w:rFonts w:ascii="Arial" w:hAnsi="Arial" w:cs="Arial"/>
          <w:sz w:val="26"/>
          <w:szCs w:val="26"/>
        </w:rPr>
        <w:t xml:space="preserve">только вдоль определенной линии </w:t>
      </w:r>
      <w:proofErr w:type="spellStart"/>
      <w:r w:rsidR="00A72ABE" w:rsidRPr="00433A29">
        <w:rPr>
          <w:rFonts w:ascii="Arial" w:hAnsi="Arial" w:cs="Arial"/>
          <w:sz w:val="26"/>
          <w:szCs w:val="26"/>
        </w:rPr>
        <w:t>ζc</w:t>
      </w:r>
      <w:proofErr w:type="spellEnd"/>
      <w:r w:rsidR="00A72ABE" w:rsidRPr="00433A29">
        <w:rPr>
          <w:rFonts w:ascii="Arial" w:hAnsi="Arial" w:cs="Arial"/>
          <w:sz w:val="26"/>
          <w:szCs w:val="26"/>
        </w:rPr>
        <w:t xml:space="preserve"> (γ) в пространстве параметров. </w:t>
      </w:r>
    </w:p>
    <w:p w:rsidR="00A72ABE" w:rsidRPr="00433A29" w:rsidRDefault="00A72ABE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Хотя действительно существует значение ζ, для которого цена является приблизительно диффузной в течение достаточно длительного времени, чтобы иметь практическое значение, </w:t>
      </w:r>
      <w:r w:rsidR="00064DB0" w:rsidRPr="00433A29">
        <w:rPr>
          <w:rFonts w:ascii="Arial" w:hAnsi="Arial" w:cs="Arial"/>
          <w:sz w:val="26"/>
          <w:szCs w:val="26"/>
        </w:rPr>
        <w:t>выяснилось</w:t>
      </w:r>
      <w:r w:rsidRPr="00433A29">
        <w:rPr>
          <w:rFonts w:ascii="Arial" w:hAnsi="Arial" w:cs="Arial"/>
          <w:sz w:val="26"/>
          <w:szCs w:val="26"/>
        </w:rPr>
        <w:t>, что переход супер</w:t>
      </w:r>
      <w:r w:rsidR="005E7367">
        <w:rPr>
          <w:rFonts w:ascii="Arial" w:hAnsi="Arial" w:cs="Arial"/>
          <w:sz w:val="26"/>
          <w:szCs w:val="26"/>
        </w:rPr>
        <w:t xml:space="preserve"> к </w:t>
      </w:r>
      <w:proofErr w:type="spellStart"/>
      <w:r w:rsidRPr="00433A29">
        <w:rPr>
          <w:rFonts w:ascii="Arial" w:hAnsi="Arial" w:cs="Arial"/>
          <w:sz w:val="26"/>
          <w:szCs w:val="26"/>
        </w:rPr>
        <w:t>суб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-диффузии фактически является лишь перекрестным переходом. Выполняя тщательное моделирование в течение достаточно длительного времени (хотя он все еще находится в промежуточном режиме μ − 1 </w:t>
      </w:r>
      <w:r w:rsidRPr="00433A29">
        <w:rPr>
          <w:rFonts w:ascii="Cambria Math" w:hAnsi="Cambria Math" w:cs="Cambria Math"/>
          <w:sz w:val="26"/>
          <w:szCs w:val="26"/>
        </w:rPr>
        <w:t>≪</w:t>
      </w:r>
      <w:r w:rsidRPr="00433A29">
        <w:rPr>
          <w:rFonts w:ascii="Arial" w:hAnsi="Arial" w:cs="Arial"/>
          <w:sz w:val="26"/>
          <w:szCs w:val="26"/>
        </w:rPr>
        <w:t xml:space="preserve"> t </w:t>
      </w:r>
      <w:r w:rsidRPr="00433A29">
        <w:rPr>
          <w:rFonts w:ascii="Cambria Math" w:hAnsi="Cambria Math" w:cs="Cambria Math"/>
          <w:sz w:val="26"/>
          <w:szCs w:val="26"/>
        </w:rPr>
        <w:t>≪</w:t>
      </w:r>
      <w:r w:rsidRPr="00433A2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3A29">
        <w:rPr>
          <w:rFonts w:ascii="Arial" w:hAnsi="Arial" w:cs="Arial"/>
          <w:sz w:val="26"/>
          <w:szCs w:val="26"/>
        </w:rPr>
        <w:t>τν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), </w:t>
      </w:r>
      <w:r w:rsidR="00064DB0" w:rsidRPr="00433A29">
        <w:rPr>
          <w:rFonts w:ascii="Arial" w:hAnsi="Arial" w:cs="Arial"/>
          <w:sz w:val="26"/>
          <w:szCs w:val="26"/>
        </w:rPr>
        <w:t>можно заметить</w:t>
      </w:r>
      <w:r w:rsidRPr="00433A29">
        <w:rPr>
          <w:rFonts w:ascii="Arial" w:hAnsi="Arial" w:cs="Arial"/>
          <w:sz w:val="26"/>
          <w:szCs w:val="26"/>
        </w:rPr>
        <w:t xml:space="preserve">, что влияние дальних корреляций в знаках сделок всегда доминирует в течение длительного времени и приводит к асимптотический показатель </w:t>
      </w:r>
      <w:proofErr w:type="spellStart"/>
      <w:r w:rsidRPr="00433A29">
        <w:rPr>
          <w:rFonts w:ascii="Arial" w:hAnsi="Arial" w:cs="Arial"/>
          <w:sz w:val="26"/>
          <w:szCs w:val="26"/>
        </w:rPr>
        <w:t>Херста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H = 1 − γ / 2 при любом γ &lt;1</w:t>
      </w:r>
      <w:r w:rsidR="00064DB0" w:rsidRPr="00433A29">
        <w:rPr>
          <w:rFonts w:ascii="Arial" w:hAnsi="Arial" w:cs="Arial"/>
          <w:sz w:val="26"/>
          <w:szCs w:val="26"/>
        </w:rPr>
        <w:t>.</w:t>
      </w:r>
    </w:p>
    <w:p w:rsidR="00A72ABE" w:rsidRDefault="00064DB0" w:rsidP="00C150C7">
      <w:pPr>
        <w:spacing w:line="276" w:lineRule="auto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6095297" cy="2867378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28 в 22.37.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844" cy="28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6B" w:rsidRPr="008A286B" w:rsidRDefault="008A286B" w:rsidP="008A286B">
      <w:pPr>
        <w:spacing w:line="276" w:lineRule="auto"/>
        <w:jc w:val="right"/>
        <w:rPr>
          <w:rFonts w:ascii="Arial" w:hAnsi="Arial" w:cs="Arial"/>
          <w:i/>
          <w:iCs/>
          <w:sz w:val="26"/>
          <w:szCs w:val="26"/>
        </w:rPr>
      </w:pPr>
      <w:r w:rsidRPr="008A286B">
        <w:rPr>
          <w:rFonts w:ascii="Arial" w:hAnsi="Arial" w:cs="Arial"/>
          <w:i/>
          <w:iCs/>
          <w:sz w:val="26"/>
          <w:szCs w:val="26"/>
        </w:rPr>
        <w:t>График 2</w:t>
      </w:r>
    </w:p>
    <w:p w:rsidR="00064DB0" w:rsidRPr="00433A29" w:rsidRDefault="00064DB0" w:rsidP="00433A29">
      <w:pPr>
        <w:spacing w:line="276" w:lineRule="auto"/>
        <w:rPr>
          <w:rFonts w:ascii="Arial" w:hAnsi="Arial" w:cs="Arial"/>
          <w:sz w:val="26"/>
          <w:szCs w:val="26"/>
        </w:rPr>
      </w:pPr>
    </w:p>
    <w:p w:rsidR="00064DB0" w:rsidRPr="00433A29" w:rsidRDefault="00064DB0" w:rsidP="00E1366F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(Слева) Фазовая диаграмма для модели в режиме μ = 0,1 с − 1, </w:t>
      </w:r>
      <w:proofErr w:type="spellStart"/>
      <w:r w:rsidRPr="00433A29">
        <w:rPr>
          <w:rFonts w:ascii="Arial" w:hAnsi="Arial" w:cs="Arial"/>
          <w:sz w:val="26"/>
          <w:szCs w:val="26"/>
        </w:rPr>
        <w:t>λw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= 5 × 10–3 с − 1, ν = 10–7 с − 1. Диффузионный характер модели оценивается с учетом величины S</w:t>
      </w:r>
      <w:r w:rsidRPr="00433A29">
        <w:rPr>
          <w:rFonts w:ascii="Arial" w:hAnsi="Arial" w:cs="Arial"/>
          <w:sz w:val="26"/>
          <w:szCs w:val="26"/>
        </w:rPr>
        <w:t xml:space="preserve"> (формула выше</w:t>
      </w:r>
      <w:r w:rsidR="005E7367">
        <w:rPr>
          <w:rFonts w:ascii="Arial" w:hAnsi="Arial" w:cs="Arial"/>
          <w:sz w:val="26"/>
          <w:szCs w:val="26"/>
        </w:rPr>
        <w:t>, в графике</w:t>
      </w:r>
      <w:r w:rsidRPr="00433A29">
        <w:rPr>
          <w:rFonts w:ascii="Arial" w:hAnsi="Arial" w:cs="Arial"/>
          <w:sz w:val="26"/>
          <w:szCs w:val="26"/>
        </w:rPr>
        <w:t>)</w:t>
      </w:r>
      <w:r w:rsidRPr="00433A29">
        <w:rPr>
          <w:rFonts w:ascii="Arial" w:hAnsi="Arial" w:cs="Arial"/>
          <w:sz w:val="26"/>
          <w:szCs w:val="26"/>
        </w:rPr>
        <w:t>, так что идеально диффузионный</w:t>
      </w:r>
      <w:r w:rsidRPr="00433A29">
        <w:rPr>
          <w:rFonts w:ascii="Arial" w:hAnsi="Arial" w:cs="Arial"/>
          <w:sz w:val="26"/>
          <w:szCs w:val="26"/>
        </w:rPr>
        <w:t xml:space="preserve"> </w:t>
      </w:r>
      <w:r w:rsidR="005E7367">
        <w:rPr>
          <w:rFonts w:ascii="Arial" w:hAnsi="Arial" w:cs="Arial"/>
          <w:sz w:val="26"/>
          <w:szCs w:val="26"/>
        </w:rPr>
        <w:t xml:space="preserve">характер </w:t>
      </w:r>
      <w:r w:rsidRPr="00433A29">
        <w:rPr>
          <w:rFonts w:ascii="Arial" w:hAnsi="Arial" w:cs="Arial"/>
          <w:sz w:val="26"/>
          <w:szCs w:val="26"/>
        </w:rPr>
        <w:t xml:space="preserve">соответствует S = 0 (жирная черная линия). </w:t>
      </w:r>
    </w:p>
    <w:p w:rsidR="00064DB0" w:rsidRPr="00433A29" w:rsidRDefault="00064DB0" w:rsidP="00433A29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064DB0" w:rsidRPr="00433A29" w:rsidRDefault="00064DB0" w:rsidP="00E1366F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(Справа) Для измененной модели, в которой потребление </w:t>
      </w:r>
      <w:r w:rsidR="00E56A8F">
        <w:rPr>
          <w:rFonts w:ascii="Arial" w:hAnsi="Arial" w:cs="Arial"/>
          <w:sz w:val="26"/>
          <w:szCs w:val="26"/>
        </w:rPr>
        <w:t>заявок</w:t>
      </w:r>
      <w:r w:rsidRPr="00433A29">
        <w:rPr>
          <w:rFonts w:ascii="Arial" w:hAnsi="Arial" w:cs="Arial"/>
          <w:sz w:val="26"/>
          <w:szCs w:val="26"/>
        </w:rPr>
        <w:t xml:space="preserve"> </w:t>
      </w:r>
      <w:r w:rsidRPr="00433A29">
        <w:rPr>
          <w:rFonts w:ascii="Arial" w:hAnsi="Arial" w:cs="Arial"/>
          <w:sz w:val="26"/>
          <w:szCs w:val="26"/>
        </w:rPr>
        <w:t xml:space="preserve">контролируется показателем </w:t>
      </w:r>
      <w:r w:rsidR="00E802DC" w:rsidRPr="00433A29">
        <w:rPr>
          <w:rFonts w:ascii="Arial" w:hAnsi="Arial" w:cs="Arial"/>
          <w:sz w:val="26"/>
          <w:szCs w:val="26"/>
        </w:rPr>
        <w:t>ψ</w:t>
      </w:r>
      <w:r w:rsidRPr="00433A29">
        <w:rPr>
          <w:rFonts w:ascii="Arial" w:hAnsi="Arial" w:cs="Arial"/>
          <w:sz w:val="26"/>
          <w:szCs w:val="26"/>
        </w:rPr>
        <w:t xml:space="preserve"> </w:t>
      </w:r>
      <w:r w:rsidRPr="00433A29">
        <w:rPr>
          <w:rFonts w:ascii="Arial" w:hAnsi="Arial" w:cs="Arial"/>
          <w:sz w:val="26"/>
          <w:szCs w:val="26"/>
        </w:rPr>
        <w:t xml:space="preserve">для того же набора параметров. В обоих случаях для любого значения γ можно найти критический ζ, за пределами которого поведение модели переходит от </w:t>
      </w:r>
      <w:proofErr w:type="spellStart"/>
      <w:r w:rsidRPr="00433A29">
        <w:rPr>
          <w:rFonts w:ascii="Arial" w:hAnsi="Arial" w:cs="Arial"/>
          <w:sz w:val="26"/>
          <w:szCs w:val="26"/>
        </w:rPr>
        <w:t>супердиффузии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к (кажущейся) </w:t>
      </w:r>
      <w:proofErr w:type="spellStart"/>
      <w:r w:rsidRPr="00433A29">
        <w:rPr>
          <w:rFonts w:ascii="Arial" w:hAnsi="Arial" w:cs="Arial"/>
          <w:sz w:val="26"/>
          <w:szCs w:val="26"/>
        </w:rPr>
        <w:t>субдиффузии</w:t>
      </w:r>
      <w:proofErr w:type="spellEnd"/>
      <w:r w:rsidRPr="00433A29">
        <w:rPr>
          <w:rFonts w:ascii="Arial" w:hAnsi="Arial" w:cs="Arial"/>
          <w:sz w:val="26"/>
          <w:szCs w:val="26"/>
        </w:rPr>
        <w:t>.</w:t>
      </w:r>
    </w:p>
    <w:p w:rsidR="00064DB0" w:rsidRPr="00433A29" w:rsidRDefault="00064DB0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Модель, однако, является, очевидно, приблизительным описанием реальности, которое пренебрегает многими эффектами, которые играют важную роль в более длительных временных масштабах. Одна из них заключается в том, что долгая память </w:t>
      </w:r>
      <w:r w:rsidR="006B270F">
        <w:rPr>
          <w:rFonts w:ascii="Arial" w:hAnsi="Arial" w:cs="Arial"/>
          <w:sz w:val="26"/>
          <w:szCs w:val="26"/>
        </w:rPr>
        <w:t>в</w:t>
      </w:r>
      <w:r w:rsidRPr="00433A29">
        <w:rPr>
          <w:rFonts w:ascii="Arial" w:hAnsi="Arial" w:cs="Arial"/>
          <w:sz w:val="26"/>
          <w:szCs w:val="26"/>
        </w:rPr>
        <w:t xml:space="preserve"> сделках, вероятно, обрезана за пределы некоторого временного масштаба, хотя это очень трудно установить эмпирически. </w:t>
      </w:r>
    </w:p>
    <w:p w:rsidR="00064DB0" w:rsidRPr="00433A29" w:rsidRDefault="00064DB0" w:rsidP="00433A29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064DB0" w:rsidRPr="00433A29" w:rsidRDefault="00064DB0" w:rsidP="00433A29">
      <w:pPr>
        <w:pStyle w:val="3"/>
        <w:spacing w:line="276" w:lineRule="auto"/>
        <w:rPr>
          <w:rFonts w:ascii="Arial" w:hAnsi="Arial" w:cs="Arial"/>
          <w:sz w:val="26"/>
          <w:szCs w:val="26"/>
        </w:rPr>
      </w:pPr>
      <w:bookmarkStart w:id="10" w:name="_Toc28466245"/>
      <w:r w:rsidRPr="00433A29">
        <w:rPr>
          <w:rFonts w:ascii="Arial" w:hAnsi="Arial" w:cs="Arial"/>
          <w:sz w:val="26"/>
          <w:szCs w:val="26"/>
          <w:lang w:val="en-US"/>
        </w:rPr>
        <w:t>D</w:t>
      </w:r>
      <w:r w:rsidRPr="00433A29">
        <w:rPr>
          <w:rFonts w:ascii="Arial" w:hAnsi="Arial" w:cs="Arial"/>
          <w:sz w:val="26"/>
          <w:szCs w:val="26"/>
        </w:rPr>
        <w:t xml:space="preserve">. </w:t>
      </w:r>
      <w:r w:rsidR="008A4595" w:rsidRPr="00433A29">
        <w:rPr>
          <w:rFonts w:ascii="Arial" w:hAnsi="Arial" w:cs="Arial"/>
          <w:sz w:val="26"/>
          <w:szCs w:val="26"/>
        </w:rPr>
        <w:t>Р</w:t>
      </w:r>
      <w:r w:rsidRPr="00433A29">
        <w:rPr>
          <w:rFonts w:ascii="Arial" w:hAnsi="Arial" w:cs="Arial"/>
          <w:sz w:val="26"/>
          <w:szCs w:val="26"/>
        </w:rPr>
        <w:t>аспределение</w:t>
      </w:r>
      <w:r w:rsidR="008A4595" w:rsidRPr="00433A29">
        <w:rPr>
          <w:rFonts w:ascii="Arial" w:hAnsi="Arial" w:cs="Arial"/>
          <w:sz w:val="26"/>
          <w:szCs w:val="26"/>
        </w:rPr>
        <w:t xml:space="preserve"> объема торгов</w:t>
      </w:r>
      <w:r w:rsidRPr="00433A29">
        <w:rPr>
          <w:rFonts w:ascii="Arial" w:hAnsi="Arial" w:cs="Arial"/>
          <w:sz w:val="26"/>
          <w:szCs w:val="26"/>
        </w:rPr>
        <w:t xml:space="preserve"> в лучшем случае</w:t>
      </w:r>
      <w:bookmarkEnd w:id="10"/>
    </w:p>
    <w:p w:rsidR="00064DB0" w:rsidRPr="00433A29" w:rsidRDefault="00064DB0" w:rsidP="00433A29">
      <w:pPr>
        <w:spacing w:line="276" w:lineRule="auto"/>
        <w:rPr>
          <w:rFonts w:ascii="Arial" w:hAnsi="Arial" w:cs="Arial"/>
          <w:sz w:val="26"/>
          <w:szCs w:val="26"/>
        </w:rPr>
      </w:pPr>
    </w:p>
    <w:p w:rsidR="00064DB0" w:rsidRPr="00433A29" w:rsidRDefault="00064DB0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Наконец, </w:t>
      </w:r>
      <w:r w:rsidRPr="00433A29">
        <w:rPr>
          <w:rFonts w:ascii="Arial" w:hAnsi="Arial" w:cs="Arial"/>
          <w:sz w:val="26"/>
          <w:szCs w:val="26"/>
        </w:rPr>
        <w:t xml:space="preserve">авторами было </w:t>
      </w:r>
      <w:r w:rsidRPr="00433A29">
        <w:rPr>
          <w:rFonts w:ascii="Arial" w:hAnsi="Arial" w:cs="Arial"/>
          <w:sz w:val="26"/>
          <w:szCs w:val="26"/>
        </w:rPr>
        <w:t>изуч</w:t>
      </w:r>
      <w:r w:rsidRPr="00433A29">
        <w:rPr>
          <w:rFonts w:ascii="Arial" w:hAnsi="Arial" w:cs="Arial"/>
          <w:sz w:val="26"/>
          <w:szCs w:val="26"/>
        </w:rPr>
        <w:t>ено</w:t>
      </w:r>
      <w:r w:rsidRPr="00433A29">
        <w:rPr>
          <w:rFonts w:ascii="Arial" w:hAnsi="Arial" w:cs="Arial"/>
          <w:sz w:val="26"/>
          <w:szCs w:val="26"/>
        </w:rPr>
        <w:t xml:space="preserve"> распределение объема по лучшей цене.</w:t>
      </w:r>
      <w:r w:rsidR="00636FDB" w:rsidRPr="00433A29">
        <w:rPr>
          <w:rFonts w:ascii="Arial" w:hAnsi="Arial" w:cs="Arial"/>
          <w:sz w:val="26"/>
          <w:szCs w:val="26"/>
        </w:rPr>
        <w:t xml:space="preserve"> </w:t>
      </w:r>
      <w:r w:rsidRPr="00433A29">
        <w:rPr>
          <w:rFonts w:ascii="Arial" w:hAnsi="Arial" w:cs="Arial"/>
          <w:sz w:val="26"/>
          <w:szCs w:val="26"/>
        </w:rPr>
        <w:t xml:space="preserve">Распределение объема очень широкое и затухает как степенной закон с универсальным показателем (не зависящим от γ и ζ) со значением, близким к −1.5. </w:t>
      </w:r>
      <w:r w:rsidR="00636FDB" w:rsidRPr="00433A29">
        <w:rPr>
          <w:rFonts w:ascii="Arial" w:hAnsi="Arial" w:cs="Arial"/>
          <w:sz w:val="26"/>
          <w:szCs w:val="26"/>
        </w:rPr>
        <w:t xml:space="preserve">Вывод – широкое </w:t>
      </w:r>
      <w:r w:rsidRPr="00433A29">
        <w:rPr>
          <w:rFonts w:ascii="Arial" w:hAnsi="Arial" w:cs="Arial"/>
          <w:sz w:val="26"/>
          <w:szCs w:val="26"/>
        </w:rPr>
        <w:t xml:space="preserve">распределение объемов вызвано большой глубиной книги, которая заставляет ценовой процесс посещать ценовые </w:t>
      </w:r>
      <w:r w:rsidR="00636FDB" w:rsidRPr="00433A29">
        <w:rPr>
          <w:rFonts w:ascii="Arial" w:hAnsi="Arial" w:cs="Arial"/>
          <w:sz w:val="26"/>
          <w:szCs w:val="26"/>
        </w:rPr>
        <w:t>корзины</w:t>
      </w:r>
      <w:r w:rsidRPr="00433A29">
        <w:rPr>
          <w:rFonts w:ascii="Arial" w:hAnsi="Arial" w:cs="Arial"/>
          <w:sz w:val="26"/>
          <w:szCs w:val="26"/>
        </w:rPr>
        <w:t xml:space="preserve"> с объемами, варьирующимися от значений, близких к нулю (найденных в области спреда), до значений вокруг максимальн</w:t>
      </w:r>
      <w:r w:rsidR="00636FDB" w:rsidRPr="00433A29">
        <w:rPr>
          <w:rFonts w:ascii="Arial" w:hAnsi="Arial" w:cs="Arial"/>
          <w:sz w:val="26"/>
          <w:szCs w:val="26"/>
        </w:rPr>
        <w:t>ой</w:t>
      </w:r>
      <w:r w:rsidRPr="00433A29">
        <w:rPr>
          <w:rFonts w:ascii="Arial" w:hAnsi="Arial" w:cs="Arial"/>
          <w:sz w:val="26"/>
          <w:szCs w:val="26"/>
        </w:rPr>
        <w:t xml:space="preserve"> глубин</w:t>
      </w:r>
      <w:r w:rsidR="00636FDB" w:rsidRPr="00433A29">
        <w:rPr>
          <w:rFonts w:ascii="Arial" w:hAnsi="Arial" w:cs="Arial"/>
          <w:sz w:val="26"/>
          <w:szCs w:val="26"/>
        </w:rPr>
        <w:t>ы</w:t>
      </w:r>
      <w:r w:rsidRPr="00433A29">
        <w:rPr>
          <w:rFonts w:ascii="Arial" w:hAnsi="Arial" w:cs="Arial"/>
          <w:sz w:val="26"/>
          <w:szCs w:val="26"/>
        </w:rPr>
        <w:t xml:space="preserve"> (для еще не исследованных ценовых регионов).</w:t>
      </w:r>
    </w:p>
    <w:p w:rsidR="00636FDB" w:rsidRPr="00433A29" w:rsidRDefault="00064DB0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lastRenderedPageBreak/>
        <w:t xml:space="preserve">Интуитивно понятно, что очередь заявок может просуществовать длительный период времени, если длинный поток </w:t>
      </w:r>
      <w:r w:rsidR="00636FDB" w:rsidRPr="00433A29">
        <w:rPr>
          <w:rFonts w:ascii="Arial" w:hAnsi="Arial" w:cs="Arial"/>
          <w:sz w:val="26"/>
          <w:szCs w:val="26"/>
        </w:rPr>
        <w:t>зявок</w:t>
      </w:r>
      <w:r w:rsidRPr="00433A29">
        <w:rPr>
          <w:rFonts w:ascii="Arial" w:hAnsi="Arial" w:cs="Arial"/>
          <w:sz w:val="26"/>
          <w:szCs w:val="26"/>
        </w:rPr>
        <w:t xml:space="preserve"> попадает в очередь запросов, но как только начинается последовательность </w:t>
      </w:r>
      <w:r w:rsidR="00636FDB" w:rsidRPr="00433A29">
        <w:rPr>
          <w:rFonts w:ascii="Arial" w:hAnsi="Arial" w:cs="Arial"/>
          <w:sz w:val="26"/>
          <w:szCs w:val="26"/>
        </w:rPr>
        <w:t>ордеров</w:t>
      </w:r>
      <w:r w:rsidRPr="00433A29">
        <w:rPr>
          <w:rFonts w:ascii="Arial" w:hAnsi="Arial" w:cs="Arial"/>
          <w:sz w:val="26"/>
          <w:szCs w:val="26"/>
        </w:rPr>
        <w:t xml:space="preserve"> соответствующего знака, ставка освобождается после конечного числа </w:t>
      </w:r>
      <w:r w:rsidR="006F61B3">
        <w:rPr>
          <w:rFonts w:ascii="Arial" w:hAnsi="Arial" w:cs="Arial"/>
          <w:sz w:val="26"/>
          <w:szCs w:val="26"/>
        </w:rPr>
        <w:t>ордер</w:t>
      </w:r>
      <w:r w:rsidRPr="00433A29">
        <w:rPr>
          <w:rFonts w:ascii="Arial" w:hAnsi="Arial" w:cs="Arial"/>
          <w:sz w:val="26"/>
          <w:szCs w:val="26"/>
        </w:rPr>
        <w:t xml:space="preserve">ов. (обычно порядка </w:t>
      </w:r>
      <w:proofErr w:type="spellStart"/>
      <w:r w:rsidRPr="00433A29">
        <w:rPr>
          <w:rFonts w:ascii="Arial" w:hAnsi="Arial" w:cs="Arial"/>
          <w:sz w:val="26"/>
          <w:szCs w:val="26"/>
        </w:rPr>
        <w:t>log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λ / ν). </w:t>
      </w:r>
    </w:p>
    <w:p w:rsidR="00064DB0" w:rsidRPr="00433A29" w:rsidRDefault="00064DB0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Тем не менее, </w:t>
      </w:r>
      <w:r w:rsidR="00636FDB" w:rsidRPr="00433A29">
        <w:rPr>
          <w:rFonts w:ascii="Arial" w:hAnsi="Arial" w:cs="Arial"/>
          <w:sz w:val="26"/>
          <w:szCs w:val="26"/>
        </w:rPr>
        <w:t>авторы</w:t>
      </w:r>
      <w:r w:rsidRPr="00433A29">
        <w:rPr>
          <w:rFonts w:ascii="Arial" w:hAnsi="Arial" w:cs="Arial"/>
          <w:sz w:val="26"/>
          <w:szCs w:val="26"/>
        </w:rPr>
        <w:t xml:space="preserve"> не нашли способ вывести, универсальное значение −3/2 показателя хвоста для распределения объема</w:t>
      </w:r>
      <w:r w:rsidR="002C321E" w:rsidRPr="00433A29">
        <w:rPr>
          <w:rFonts w:ascii="Arial" w:hAnsi="Arial" w:cs="Arial"/>
          <w:sz w:val="26"/>
          <w:szCs w:val="26"/>
        </w:rPr>
        <w:t xml:space="preserve"> торгов</w:t>
      </w:r>
      <w:r w:rsidRPr="00433A29">
        <w:rPr>
          <w:rFonts w:ascii="Arial" w:hAnsi="Arial" w:cs="Arial"/>
          <w:sz w:val="26"/>
          <w:szCs w:val="26"/>
        </w:rPr>
        <w:t>.</w:t>
      </w:r>
    </w:p>
    <w:p w:rsidR="00636FDB" w:rsidRPr="00433A29" w:rsidRDefault="00636FDB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636FDB" w:rsidRDefault="00636FDB" w:rsidP="00433A29">
      <w:pPr>
        <w:spacing w:line="276" w:lineRule="auto"/>
        <w:jc w:val="center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36615" cy="27171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28 в 22.48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6B" w:rsidRPr="008A286B" w:rsidRDefault="008A286B" w:rsidP="008A286B">
      <w:pPr>
        <w:spacing w:line="276" w:lineRule="auto"/>
        <w:jc w:val="right"/>
        <w:rPr>
          <w:rFonts w:ascii="Arial" w:hAnsi="Arial" w:cs="Arial"/>
          <w:i/>
          <w:iCs/>
          <w:sz w:val="26"/>
          <w:szCs w:val="26"/>
        </w:rPr>
      </w:pPr>
      <w:r w:rsidRPr="008A286B">
        <w:rPr>
          <w:rFonts w:ascii="Arial" w:hAnsi="Arial" w:cs="Arial"/>
          <w:i/>
          <w:iCs/>
          <w:sz w:val="26"/>
          <w:szCs w:val="26"/>
        </w:rPr>
        <w:t xml:space="preserve">График </w:t>
      </w:r>
      <w:r>
        <w:rPr>
          <w:rFonts w:ascii="Arial" w:hAnsi="Arial" w:cs="Arial"/>
          <w:i/>
          <w:iCs/>
          <w:sz w:val="26"/>
          <w:szCs w:val="26"/>
        </w:rPr>
        <w:t>3</w:t>
      </w:r>
    </w:p>
    <w:p w:rsidR="00636FDB" w:rsidRPr="00433A29" w:rsidRDefault="00636FDB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636FDB" w:rsidRPr="00433A29" w:rsidRDefault="00636FDB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 xml:space="preserve">(Слева) График для выбора параметра μ = 0,1 с − 1, </w:t>
      </w:r>
      <w:proofErr w:type="spellStart"/>
      <w:r w:rsidRPr="00433A29">
        <w:rPr>
          <w:rFonts w:ascii="Arial" w:hAnsi="Arial" w:cs="Arial"/>
          <w:sz w:val="26"/>
          <w:szCs w:val="26"/>
        </w:rPr>
        <w:t>λw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= 5 × 10–3 с − 1, ν = 10–7 с − 1, γ = 0,5 и различных значений ζ. Уменьшение значений ζ приводит к более сильному диффузионному поведению. Однако </w:t>
      </w:r>
      <w:r w:rsidRPr="00433A29">
        <w:rPr>
          <w:rFonts w:ascii="Arial" w:hAnsi="Arial" w:cs="Arial"/>
          <w:sz w:val="26"/>
          <w:szCs w:val="26"/>
        </w:rPr>
        <w:t xml:space="preserve">стоит </w:t>
      </w:r>
      <w:r w:rsidRPr="00433A29">
        <w:rPr>
          <w:rFonts w:ascii="Arial" w:hAnsi="Arial" w:cs="Arial"/>
          <w:sz w:val="26"/>
          <w:szCs w:val="26"/>
        </w:rPr>
        <w:t>обратит</w:t>
      </w:r>
      <w:r w:rsidRPr="00433A29">
        <w:rPr>
          <w:rFonts w:ascii="Arial" w:hAnsi="Arial" w:cs="Arial"/>
          <w:sz w:val="26"/>
          <w:szCs w:val="26"/>
        </w:rPr>
        <w:t>ь</w:t>
      </w:r>
      <w:r w:rsidRPr="00433A29">
        <w:rPr>
          <w:rFonts w:ascii="Arial" w:hAnsi="Arial" w:cs="Arial"/>
          <w:sz w:val="26"/>
          <w:szCs w:val="26"/>
        </w:rPr>
        <w:t xml:space="preserve"> внимание, что в этом случае поведение в течение длительного времени всегда является </w:t>
      </w:r>
      <w:r w:rsidR="00543E2E">
        <w:rPr>
          <w:rFonts w:ascii="Arial" w:hAnsi="Arial" w:cs="Arial"/>
          <w:sz w:val="26"/>
          <w:szCs w:val="26"/>
        </w:rPr>
        <w:t>супер-</w:t>
      </w:r>
      <w:r w:rsidRPr="00433A29">
        <w:rPr>
          <w:rFonts w:ascii="Arial" w:hAnsi="Arial" w:cs="Arial"/>
          <w:sz w:val="26"/>
          <w:szCs w:val="26"/>
        </w:rPr>
        <w:t xml:space="preserve">диффузионным. </w:t>
      </w:r>
    </w:p>
    <w:p w:rsidR="00636FDB" w:rsidRPr="00433A29" w:rsidRDefault="00636FDB" w:rsidP="00433A29">
      <w:pPr>
        <w:spacing w:line="276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33A29">
        <w:rPr>
          <w:rFonts w:ascii="Arial" w:hAnsi="Arial" w:cs="Arial"/>
          <w:sz w:val="26"/>
          <w:szCs w:val="26"/>
        </w:rPr>
        <w:t>(Справа) График для модифицированной модели с</w:t>
      </w:r>
      <w:r w:rsidRPr="00433A29">
        <w:rPr>
          <w:rFonts w:ascii="Arial" w:hAnsi="Arial" w:cs="Arial"/>
          <w:sz w:val="26"/>
          <w:szCs w:val="26"/>
        </w:rPr>
        <w:t>о</w:t>
      </w:r>
      <w:r w:rsidRPr="00433A29">
        <w:rPr>
          <w:rFonts w:ascii="Arial" w:hAnsi="Arial" w:cs="Arial"/>
          <w:sz w:val="26"/>
          <w:szCs w:val="26"/>
        </w:rPr>
        <w:t xml:space="preserve"> степенным потреблением объема</w:t>
      </w:r>
      <w:r w:rsidR="000E1DF3" w:rsidRPr="00433A29">
        <w:rPr>
          <w:rFonts w:ascii="Arial" w:hAnsi="Arial" w:cs="Arial"/>
          <w:sz w:val="26"/>
          <w:szCs w:val="26"/>
        </w:rPr>
        <w:t xml:space="preserve"> торгов</w:t>
      </w:r>
      <w:r w:rsidRPr="00433A29">
        <w:rPr>
          <w:rFonts w:ascii="Arial" w:hAnsi="Arial" w:cs="Arial"/>
          <w:sz w:val="26"/>
          <w:szCs w:val="26"/>
        </w:rPr>
        <w:t xml:space="preserve"> для различных значений показателя степени. Набор параметров аналогичен принятому на левом графике, за исключением значения γ = 0,4. Светло-серые линии соответствуют </w:t>
      </w:r>
      <w:r w:rsidR="00A2607A">
        <w:rPr>
          <w:rFonts w:ascii="Arial" w:hAnsi="Arial" w:cs="Arial"/>
          <w:sz w:val="26"/>
          <w:szCs w:val="26"/>
        </w:rPr>
        <w:t>лимитным</w:t>
      </w:r>
      <w:r w:rsidRPr="00433A29">
        <w:rPr>
          <w:rFonts w:ascii="Arial" w:hAnsi="Arial" w:cs="Arial"/>
          <w:sz w:val="26"/>
          <w:szCs w:val="26"/>
        </w:rPr>
        <w:t xml:space="preserve"> случаям ψ = 0 и ψ = 1. </w:t>
      </w:r>
      <w:r w:rsidR="000E1DF3" w:rsidRPr="00433A29">
        <w:rPr>
          <w:rFonts w:ascii="Arial" w:hAnsi="Arial" w:cs="Arial"/>
          <w:sz w:val="26"/>
          <w:szCs w:val="26"/>
        </w:rPr>
        <w:t xml:space="preserve">Также стоит обратить </w:t>
      </w:r>
      <w:r w:rsidRPr="00433A29">
        <w:rPr>
          <w:rFonts w:ascii="Arial" w:hAnsi="Arial" w:cs="Arial"/>
          <w:sz w:val="26"/>
          <w:szCs w:val="26"/>
        </w:rPr>
        <w:t xml:space="preserve">внимание, что в этом случае поведение в течение длительного времени является </w:t>
      </w:r>
      <w:proofErr w:type="spellStart"/>
      <w:r w:rsidRPr="00433A29">
        <w:rPr>
          <w:rFonts w:ascii="Arial" w:hAnsi="Arial" w:cs="Arial"/>
          <w:sz w:val="26"/>
          <w:szCs w:val="26"/>
        </w:rPr>
        <w:t>суб</w:t>
      </w:r>
      <w:proofErr w:type="spellEnd"/>
      <w:r w:rsidR="00543E2E">
        <w:rPr>
          <w:rFonts w:ascii="Arial" w:hAnsi="Arial" w:cs="Arial"/>
          <w:sz w:val="26"/>
          <w:szCs w:val="26"/>
        </w:rPr>
        <w:t>-</w:t>
      </w:r>
      <w:r w:rsidRPr="00433A29">
        <w:rPr>
          <w:rFonts w:ascii="Arial" w:hAnsi="Arial" w:cs="Arial"/>
          <w:sz w:val="26"/>
          <w:szCs w:val="26"/>
        </w:rPr>
        <w:t xml:space="preserve">диффузионным при ψ </w:t>
      </w:r>
      <w:r w:rsidR="000E1DF3" w:rsidRPr="00433A29">
        <w:rPr>
          <w:rFonts w:ascii="Arial" w:hAnsi="Arial" w:cs="Arial"/>
          <w:sz w:val="26"/>
          <w:szCs w:val="26"/>
        </w:rPr>
        <w:t>≤</w:t>
      </w:r>
      <w:r w:rsidRPr="00433A29">
        <w:rPr>
          <w:rFonts w:ascii="Arial" w:hAnsi="Arial" w:cs="Arial"/>
          <w:sz w:val="26"/>
          <w:szCs w:val="26"/>
        </w:rPr>
        <w:t xml:space="preserve"> 0,8, супер</w:t>
      </w:r>
      <w:r w:rsidR="00543E2E">
        <w:rPr>
          <w:rFonts w:ascii="Arial" w:hAnsi="Arial" w:cs="Arial"/>
          <w:sz w:val="26"/>
          <w:szCs w:val="26"/>
        </w:rPr>
        <w:t>-</w:t>
      </w:r>
      <w:r w:rsidRPr="00433A29">
        <w:rPr>
          <w:rFonts w:ascii="Arial" w:hAnsi="Arial" w:cs="Arial"/>
          <w:sz w:val="26"/>
          <w:szCs w:val="26"/>
        </w:rPr>
        <w:t>диффузионным при больших значени</w:t>
      </w:r>
      <w:r w:rsidR="000E1DF3" w:rsidRPr="00433A29">
        <w:rPr>
          <w:rFonts w:ascii="Arial" w:hAnsi="Arial" w:cs="Arial"/>
          <w:sz w:val="26"/>
          <w:szCs w:val="26"/>
        </w:rPr>
        <w:t>ях</w:t>
      </w:r>
      <w:r w:rsidRPr="00433A29">
        <w:rPr>
          <w:rFonts w:ascii="Arial" w:hAnsi="Arial" w:cs="Arial"/>
          <w:sz w:val="26"/>
          <w:szCs w:val="26"/>
        </w:rPr>
        <w:t xml:space="preserve"> ψ и точно диффузным при ψ = </w:t>
      </w:r>
      <w:proofErr w:type="spellStart"/>
      <w:r w:rsidRPr="00433A29">
        <w:rPr>
          <w:rFonts w:ascii="Arial" w:hAnsi="Arial" w:cs="Arial"/>
          <w:sz w:val="26"/>
          <w:szCs w:val="26"/>
        </w:rPr>
        <w:t>ψc</w:t>
      </w:r>
      <w:proofErr w:type="spellEnd"/>
      <w:r w:rsidRPr="00433A29">
        <w:rPr>
          <w:rFonts w:ascii="Arial" w:hAnsi="Arial" w:cs="Arial"/>
          <w:sz w:val="26"/>
          <w:szCs w:val="26"/>
        </w:rPr>
        <w:t xml:space="preserve"> ≈ 0,8.</w:t>
      </w:r>
      <w:bookmarkStart w:id="11" w:name="_GoBack"/>
      <w:bookmarkEnd w:id="11"/>
    </w:p>
    <w:sectPr w:rsidR="00636FDB" w:rsidRPr="00433A29" w:rsidSect="00AF6B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226"/>
    <w:multiLevelType w:val="multilevel"/>
    <w:tmpl w:val="F0C4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71C0B"/>
    <w:multiLevelType w:val="hybridMultilevel"/>
    <w:tmpl w:val="24CE629A"/>
    <w:lvl w:ilvl="0" w:tplc="2950445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11111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754E"/>
    <w:multiLevelType w:val="hybridMultilevel"/>
    <w:tmpl w:val="F716BB28"/>
    <w:lvl w:ilvl="0" w:tplc="0200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E1A9A"/>
    <w:multiLevelType w:val="hybridMultilevel"/>
    <w:tmpl w:val="92DA1FC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38"/>
    <w:rsid w:val="00010792"/>
    <w:rsid w:val="00064DB0"/>
    <w:rsid w:val="000C734F"/>
    <w:rsid w:val="000E1DF3"/>
    <w:rsid w:val="001371C0"/>
    <w:rsid w:val="001B7EBC"/>
    <w:rsid w:val="002547A1"/>
    <w:rsid w:val="002A17F4"/>
    <w:rsid w:val="002B73CB"/>
    <w:rsid w:val="002C321E"/>
    <w:rsid w:val="002C4E57"/>
    <w:rsid w:val="002E0A79"/>
    <w:rsid w:val="002E1796"/>
    <w:rsid w:val="00322E69"/>
    <w:rsid w:val="00351110"/>
    <w:rsid w:val="00392538"/>
    <w:rsid w:val="00416D4A"/>
    <w:rsid w:val="00433A29"/>
    <w:rsid w:val="00485E3D"/>
    <w:rsid w:val="00493D49"/>
    <w:rsid w:val="004F2319"/>
    <w:rsid w:val="004F4B0A"/>
    <w:rsid w:val="004F6914"/>
    <w:rsid w:val="00543E2E"/>
    <w:rsid w:val="0056408D"/>
    <w:rsid w:val="00590D6B"/>
    <w:rsid w:val="005B2DE5"/>
    <w:rsid w:val="005E7367"/>
    <w:rsid w:val="005E75A9"/>
    <w:rsid w:val="00636FDB"/>
    <w:rsid w:val="00686238"/>
    <w:rsid w:val="00695419"/>
    <w:rsid w:val="006B270F"/>
    <w:rsid w:val="006F61B3"/>
    <w:rsid w:val="007907B5"/>
    <w:rsid w:val="007C2483"/>
    <w:rsid w:val="00800110"/>
    <w:rsid w:val="00800DD5"/>
    <w:rsid w:val="00824C0C"/>
    <w:rsid w:val="00830DA8"/>
    <w:rsid w:val="00896224"/>
    <w:rsid w:val="008A286B"/>
    <w:rsid w:val="008A4595"/>
    <w:rsid w:val="008B2351"/>
    <w:rsid w:val="008C6772"/>
    <w:rsid w:val="008D5C5A"/>
    <w:rsid w:val="008E0A36"/>
    <w:rsid w:val="008F6340"/>
    <w:rsid w:val="00977BD5"/>
    <w:rsid w:val="00981695"/>
    <w:rsid w:val="00986BA1"/>
    <w:rsid w:val="009A1288"/>
    <w:rsid w:val="009A5367"/>
    <w:rsid w:val="009C0D8E"/>
    <w:rsid w:val="009C6A6C"/>
    <w:rsid w:val="00A17C59"/>
    <w:rsid w:val="00A2607A"/>
    <w:rsid w:val="00A3119C"/>
    <w:rsid w:val="00A64DB7"/>
    <w:rsid w:val="00A66861"/>
    <w:rsid w:val="00A72ABE"/>
    <w:rsid w:val="00A8039B"/>
    <w:rsid w:val="00AB4D63"/>
    <w:rsid w:val="00AE7825"/>
    <w:rsid w:val="00AF477A"/>
    <w:rsid w:val="00AF6B6E"/>
    <w:rsid w:val="00B617FD"/>
    <w:rsid w:val="00BD578A"/>
    <w:rsid w:val="00C14EAB"/>
    <w:rsid w:val="00C150C7"/>
    <w:rsid w:val="00C5094A"/>
    <w:rsid w:val="00C82218"/>
    <w:rsid w:val="00C90F9C"/>
    <w:rsid w:val="00CB08D1"/>
    <w:rsid w:val="00CB1A0E"/>
    <w:rsid w:val="00CB2C83"/>
    <w:rsid w:val="00CC018A"/>
    <w:rsid w:val="00D161CF"/>
    <w:rsid w:val="00D21B69"/>
    <w:rsid w:val="00D252DB"/>
    <w:rsid w:val="00D658E1"/>
    <w:rsid w:val="00DB37ED"/>
    <w:rsid w:val="00DD5008"/>
    <w:rsid w:val="00DE1BE2"/>
    <w:rsid w:val="00E054ED"/>
    <w:rsid w:val="00E1366F"/>
    <w:rsid w:val="00E17D53"/>
    <w:rsid w:val="00E243E5"/>
    <w:rsid w:val="00E56A8F"/>
    <w:rsid w:val="00E802DC"/>
    <w:rsid w:val="00FB3737"/>
    <w:rsid w:val="00F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64B6"/>
  <w15:chartTrackingRefBased/>
  <w15:docId w15:val="{8436BAF7-3468-9D40-969D-5AC25045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62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AF47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477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3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0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0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3119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119C"/>
    <w:pPr>
      <w:spacing w:before="240" w:after="120"/>
    </w:pPr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3119C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3119C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3119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3119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3119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3119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3119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3119C"/>
    <w:pPr>
      <w:ind w:left="1920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22E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4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fr/citations?user=58amEmwAAAAJ&amp;hl=e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.google.com/citations?user=nP2zV_oAAAAJ&amp;hl=e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rofile/Iacopo_Mastromatte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xiv.org/abs/1102.54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B6B1A-910F-D348-83A3-B7214C07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3292</Words>
  <Characters>20412</Characters>
  <Application>Microsoft Office Word</Application>
  <DocSecurity>0</DocSecurity>
  <Lines>400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Вадимович</dc:creator>
  <cp:keywords/>
  <dc:description/>
  <cp:lastModifiedBy>Юсифов Эмиль Вадимович</cp:lastModifiedBy>
  <cp:revision>67</cp:revision>
  <dcterms:created xsi:type="dcterms:W3CDTF">2019-12-28T14:55:00Z</dcterms:created>
  <dcterms:modified xsi:type="dcterms:W3CDTF">2019-12-28T20:41:00Z</dcterms:modified>
</cp:coreProperties>
</file>