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Tic Tac Toe Code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# Definitions of the Game Board Setup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x_mark = "X"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o_mark = "O"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blank  = " 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# Setup and display of a single row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boardRow0 = [ blank, blank, blank ]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boardRow1 = [ blank, blank, blank ]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boardRow2 = [ blank, blank, blank ]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print (boardRow0)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print (boardRow1)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print (boardRow2)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# Note: Numbers must be converted using the int() function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print ("Make a move…")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xORo = input("X or O =")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if (xORo == x_mark ) or (xORo == o_mark):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rowMove = int(input("Row = "))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colMove = int(input("Col = "))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elif (xORo != x_mark ) or (xORo != o_mark) 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print ("Mark must be either X or O. Please try again ")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# The move can be added to a row as follows: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if xORo == x_mark  or xORo == o_mark: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  if (rowMove == 0):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boardRow0[colMove] = xORo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  if (rowMove == 1):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boardRow1[colMove] = xORo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if (rowMove == 2):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  <w:t xml:space="preserve">boardRow2[colMove] = xORo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if xORo == x_mark  or xORo == o_mark: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print (boardRow0)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 print (boardRow1)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 print (boardRow2)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# If statements can be used to check that the range of input values are correct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if (rowMove&gt; 2 ) 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 ("Row value must be between 0 to 2. Please try again ")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if (colMove&gt; 2 ) :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ab/>
        <w:t xml:space="preserve">print ("Column value must be between 0 to 2. Please try again ")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