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620"/>
        <w:gridCol w:w="4320"/>
        <w:tblGridChange w:id="0">
          <w:tblGrid>
            <w:gridCol w:w="4935"/>
            <w:gridCol w:w="46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trapped in an abusive, trauma bonded relationship that goes through cycles of normalisation and escalation that destabilise your mental health, the company, and people’s trust in you.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team is unhappy and confused because they don’t have context on why you’re absent, disengaged, and unable to stay across work streams or complete basic tasks.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EM: Initiated exec meetings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EM: Set and monitor prioritisation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EM/RM: Rent Sydney office to create accountability over attendance.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consistently mis-prioritise workstreams, and reach for easy to report low impact uses of your time. Eg. Three weeks in we have no solid leads on Colombia employers, you’re spending 50% of your days calling students in Colombia.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are reluctant to involve you in critical work streams.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is a culture of acceptability around quiet quitting and low performance that we have to constantly paddle against.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EM: Hiring additional resourcing to backfill capacity gaps left by you and the decreased motivation across the rest of the team.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engage in patterns of deceptive, low integrity conduct at work eg. changing commitments, deleting slack comments.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don’t trust or respect you as a colleague or a leader.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no solution to this, stop doing it.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aren’t across critical details of the work. Eg. labour market analysis in Costa Rica, and lessons learned on best ways 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don’t respect your judgement, feedback. You pull work streams off course. </w:t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are reluctant to involve you in critical external meetings where you repeat out of date ideas or ignore key learnings.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EM: Often your interventions in meetings need to be facilitated to prevent the meeting going off track.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confusing lines of ownership and management because you aren’t sure where you </w:t>
            </w:r>
            <w:r w:rsidDel="00000000" w:rsidR="00000000" w:rsidRPr="00000000">
              <w:rPr>
                <w:i w:val="1"/>
                <w:rtl w:val="0"/>
              </w:rPr>
              <w:t xml:space="preserve">want</w:t>
            </w:r>
            <w:r w:rsidDel="00000000" w:rsidR="00000000" w:rsidRPr="00000000">
              <w:rPr>
                <w:rtl w:val="0"/>
              </w:rPr>
              <w:t xml:space="preserve"> to engage, and you often aren’t </w:t>
            </w:r>
            <w:r w:rsidDel="00000000" w:rsidR="00000000" w:rsidRPr="00000000">
              <w:rPr>
                <w:i w:val="1"/>
                <w:rtl w:val="0"/>
              </w:rPr>
              <w:t xml:space="preserve">capable</w:t>
            </w:r>
            <w:r w:rsidDel="00000000" w:rsidR="00000000" w:rsidRPr="00000000">
              <w:rPr>
                <w:rtl w:val="0"/>
              </w:rPr>
              <w:t xml:space="preserve"> of engaging usefully.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decreased ownership on the team, people are confused about the management structure.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personal stress of managing and intermediating your personal life crisis has left multiple critical senior staff with one foot out the door.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company is facing significant key person risk at a critical moment. You aren’t proactively solving problems for senior staff.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