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C133C" w14:textId="0412E9E2" w:rsidR="00D163BC" w:rsidRPr="00444098" w:rsidRDefault="00B54D71" w:rsidP="00444098">
      <w:pPr>
        <w:spacing w:line="360" w:lineRule="auto"/>
        <w:jc w:val="center"/>
        <w:rPr>
          <w:b/>
          <w:i/>
          <w:sz w:val="28"/>
        </w:rPr>
      </w:pPr>
      <w:r w:rsidRPr="00D163BC">
        <w:rPr>
          <w:b/>
          <w:i/>
          <w:sz w:val="28"/>
        </w:rPr>
        <w:t>Data Repository</w:t>
      </w:r>
    </w:p>
    <w:p w14:paraId="186AAD12" w14:textId="73BB387F" w:rsidR="00B54D71" w:rsidRDefault="00B54D71" w:rsidP="008F50FB">
      <w:pPr>
        <w:spacing w:line="360" w:lineRule="auto"/>
      </w:pPr>
      <w:r w:rsidRPr="00B31A9D">
        <w:rPr>
          <w:i/>
        </w:rPr>
        <w:t>In a nutshell</w:t>
      </w:r>
      <w:r>
        <w:t>:</w:t>
      </w:r>
    </w:p>
    <w:p w14:paraId="4F7E4A1B" w14:textId="1809CAF1" w:rsidR="00B54D71" w:rsidRDefault="00B54D71" w:rsidP="008F50FB">
      <w:pPr>
        <w:spacing w:line="360" w:lineRule="auto"/>
      </w:pPr>
      <w:r>
        <w:t xml:space="preserve">a) </w:t>
      </w:r>
      <w:r w:rsidRPr="00B31A9D">
        <w:rPr>
          <w:b/>
        </w:rPr>
        <w:t>Estimates of total unreported catch</w:t>
      </w:r>
      <w:r w:rsidR="00CB3357">
        <w:t>: how we g</w:t>
      </w:r>
      <w:r w:rsidR="0005018E">
        <w:t>o</w:t>
      </w:r>
      <w:r w:rsidR="00CB3357">
        <w:t xml:space="preserve">t the </w:t>
      </w:r>
      <w:r w:rsidR="00B31A9D">
        <w:t>67-88% is illegal number</w:t>
      </w:r>
    </w:p>
    <w:p w14:paraId="3AEDBAFC" w14:textId="2DC4EE13" w:rsidR="00B54D71" w:rsidRDefault="00B54D71" w:rsidP="008F50FB">
      <w:pPr>
        <w:spacing w:line="360" w:lineRule="auto"/>
      </w:pPr>
      <w:r>
        <w:t>b</w:t>
      </w:r>
      <w:r w:rsidRPr="00B31A9D">
        <w:rPr>
          <w:b/>
        </w:rPr>
        <w:t>) Legal landings</w:t>
      </w:r>
      <w:r w:rsidR="00493A4C" w:rsidRPr="00B31A9D">
        <w:rPr>
          <w:b/>
        </w:rPr>
        <w:t xml:space="preserve"> data</w:t>
      </w:r>
      <w:r w:rsidR="00B31A9D">
        <w:t>: all reported catches by fisher’s data</w:t>
      </w:r>
    </w:p>
    <w:p w14:paraId="4D2B32D5" w14:textId="4DBAD13C" w:rsidR="00B54D71" w:rsidRDefault="00B54D71" w:rsidP="008F50FB">
      <w:pPr>
        <w:spacing w:line="360" w:lineRule="auto"/>
      </w:pPr>
      <w:r>
        <w:t xml:space="preserve">c) </w:t>
      </w:r>
      <w:r w:rsidRPr="00B31A9D">
        <w:rPr>
          <w:b/>
        </w:rPr>
        <w:t>Enforcement records</w:t>
      </w:r>
      <w:r w:rsidR="00B31A9D">
        <w:t>: number of enforcement activities government did</w:t>
      </w:r>
    </w:p>
    <w:p w14:paraId="0D49F4B1" w14:textId="1F50AB0B" w:rsidR="00B54D71" w:rsidRDefault="00B54D71" w:rsidP="008F50FB">
      <w:pPr>
        <w:spacing w:line="360" w:lineRule="auto"/>
      </w:pPr>
      <w:r>
        <w:t xml:space="preserve">d) </w:t>
      </w:r>
      <w:r w:rsidR="00D163BC" w:rsidRPr="00B31A9D">
        <w:rPr>
          <w:b/>
        </w:rPr>
        <w:t>Price data</w:t>
      </w:r>
      <w:r w:rsidR="00B31A9D">
        <w:t>: the price at which legal fish is sold at ports</w:t>
      </w:r>
    </w:p>
    <w:p w14:paraId="2870A231" w14:textId="4418501D" w:rsidR="00E35E5F" w:rsidRDefault="00E35E5F" w:rsidP="008F50FB">
      <w:pPr>
        <w:spacing w:line="360" w:lineRule="auto"/>
      </w:pPr>
      <w:r>
        <w:t xml:space="preserve">e) </w:t>
      </w:r>
      <w:r w:rsidRPr="00B31A9D">
        <w:rPr>
          <w:b/>
        </w:rPr>
        <w:t>Findings from fieldwork</w:t>
      </w:r>
      <w:r w:rsidR="00B31A9D">
        <w:t>: rough notes of what I founded doing fieldwork</w:t>
      </w:r>
    </w:p>
    <w:p w14:paraId="693CDF93" w14:textId="310B3D71" w:rsidR="00B54D71" w:rsidRDefault="00133D1A" w:rsidP="008F50FB">
      <w:pPr>
        <w:spacing w:line="360" w:lineRule="auto"/>
      </w:pPr>
      <w:r>
        <w:t>f)</w:t>
      </w:r>
      <w:r w:rsidR="001140E1">
        <w:t xml:space="preserve"> </w:t>
      </w:r>
      <w:r w:rsidR="00DC6DFD" w:rsidRPr="00B31A9D">
        <w:rPr>
          <w:b/>
        </w:rPr>
        <w:t>Framework manuscript</w:t>
      </w:r>
      <w:r w:rsidR="00B31A9D">
        <w:t>: manuscript in which we describe in great detai</w:t>
      </w:r>
      <w:r w:rsidR="00124BE5">
        <w:t>l</w:t>
      </w:r>
      <w:r w:rsidR="00B31A9D">
        <w:t xml:space="preserve"> how the hake market operates.</w:t>
      </w:r>
    </w:p>
    <w:p w14:paraId="5F59E9DC" w14:textId="77777777" w:rsidR="00B54D71" w:rsidRDefault="00B54D71" w:rsidP="008F50FB">
      <w:pPr>
        <w:spacing w:line="360" w:lineRule="auto"/>
      </w:pPr>
    </w:p>
    <w:p w14:paraId="176D8680" w14:textId="51797E7A" w:rsidR="00B54D71" w:rsidRPr="00B15E3F" w:rsidRDefault="00644A13" w:rsidP="008F50FB">
      <w:pPr>
        <w:pStyle w:val="ListParagraph"/>
        <w:numPr>
          <w:ilvl w:val="0"/>
          <w:numId w:val="5"/>
        </w:numPr>
        <w:spacing w:line="360" w:lineRule="auto"/>
        <w:rPr>
          <w:b/>
        </w:rPr>
      </w:pPr>
      <w:r w:rsidRPr="00B15E3F">
        <w:rPr>
          <w:b/>
        </w:rPr>
        <w:t>Estimates of total unreported catch</w:t>
      </w:r>
      <w:r w:rsidR="00B54D71" w:rsidRPr="00B15E3F">
        <w:rPr>
          <w:rFonts w:cstheme="minorHAnsi"/>
          <w:b/>
        </w:rPr>
        <w:t xml:space="preserve"> </w:t>
      </w:r>
    </w:p>
    <w:p w14:paraId="5FCD8D5A" w14:textId="0FBA6EBB" w:rsidR="00B54D71" w:rsidRDefault="00547AD0" w:rsidP="008F50FB">
      <w:pPr>
        <w:spacing w:line="360" w:lineRule="auto"/>
        <w:ind w:firstLine="643"/>
        <w:rPr>
          <w:rFonts w:eastAsia="Times New Roman" w:cstheme="minorHAnsi"/>
          <w:color w:val="0E101A"/>
        </w:rPr>
      </w:pPr>
      <w:r>
        <w:rPr>
          <w:rFonts w:eastAsia="Times New Roman" w:cstheme="minorHAnsi"/>
          <w:color w:val="0E101A"/>
        </w:rPr>
        <w:t>U</w:t>
      </w:r>
      <w:r w:rsidR="00B54D71" w:rsidRPr="000A2300">
        <w:rPr>
          <w:rFonts w:eastAsia="Times New Roman" w:cstheme="minorHAnsi"/>
          <w:color w:val="0E101A"/>
        </w:rPr>
        <w:t xml:space="preserve">sing sensitive questioning </w:t>
      </w:r>
      <w:r w:rsidR="00B54D71">
        <w:rPr>
          <w:rFonts w:eastAsia="Times New Roman" w:cstheme="minorHAnsi"/>
          <w:color w:val="0E101A"/>
        </w:rPr>
        <w:t xml:space="preserve">methods </w:t>
      </w:r>
      <w:r w:rsidR="00B54D71" w:rsidRPr="000A2300">
        <w:rPr>
          <w:rFonts w:eastAsia="Times New Roman" w:cstheme="minorHAnsi"/>
          <w:color w:val="0E101A"/>
        </w:rPr>
        <w:t>(</w:t>
      </w:r>
      <w:r w:rsidR="00B54D71">
        <w:rPr>
          <w:rFonts w:eastAsia="Times New Roman" w:cstheme="minorHAnsi"/>
          <w:color w:val="0E101A"/>
        </w:rPr>
        <w:t xml:space="preserve">the </w:t>
      </w:r>
      <w:r w:rsidR="00B54D71" w:rsidRPr="000A2300">
        <w:rPr>
          <w:rFonts w:eastAsia="Times New Roman" w:cstheme="minorHAnsi"/>
          <w:color w:val="0E101A"/>
        </w:rPr>
        <w:t xml:space="preserve">Randomised Response Technique) and direct questions, </w:t>
      </w:r>
      <w:r w:rsidR="00EF0AC2">
        <w:rPr>
          <w:rFonts w:eastAsia="Times New Roman" w:cstheme="minorHAnsi"/>
          <w:color w:val="0E101A"/>
        </w:rPr>
        <w:t xml:space="preserve">we </w:t>
      </w:r>
      <w:r w:rsidR="00B54D71" w:rsidRPr="000A2300">
        <w:rPr>
          <w:rFonts w:eastAsia="Times New Roman" w:cstheme="minorHAnsi"/>
          <w:color w:val="0E101A"/>
        </w:rPr>
        <w:t>estimated un</w:t>
      </w:r>
      <w:r w:rsidR="00B54D71">
        <w:rPr>
          <w:rFonts w:eastAsia="Times New Roman" w:cstheme="minorHAnsi"/>
          <w:color w:val="0E101A"/>
        </w:rPr>
        <w:t>der-</w:t>
      </w:r>
      <w:r w:rsidR="00B54D71" w:rsidRPr="000A2300">
        <w:rPr>
          <w:rFonts w:eastAsia="Times New Roman" w:cstheme="minorHAnsi"/>
          <w:color w:val="0E101A"/>
        </w:rPr>
        <w:t>reporting per trip to be</w:t>
      </w:r>
      <w:r w:rsidR="00B54D71" w:rsidRPr="000A2300">
        <w:t xml:space="preserve"> </w:t>
      </w:r>
      <w:r w:rsidR="00B54D71" w:rsidRPr="000A2300">
        <w:rPr>
          <w:rFonts w:eastAsia="Times New Roman" w:cstheme="minorHAnsi"/>
          <w:color w:val="0E101A"/>
        </w:rPr>
        <w:t xml:space="preserve">548.37 [SE = 66.42], and 594.54 [SE = 33.75] kg for RRT and direct questions, respectively. </w:t>
      </w:r>
      <w:r w:rsidR="00B54D71">
        <w:rPr>
          <w:rFonts w:eastAsia="Times New Roman" w:cstheme="minorHAnsi"/>
          <w:color w:val="0E101A"/>
        </w:rPr>
        <w:t xml:space="preserve">To </w:t>
      </w:r>
      <w:r w:rsidR="00B54D71" w:rsidRPr="000A2300">
        <w:rPr>
          <w:rFonts w:eastAsia="Times New Roman" w:cstheme="minorHAnsi"/>
          <w:color w:val="0E101A"/>
        </w:rPr>
        <w:t>extrapolat</w:t>
      </w:r>
      <w:r w:rsidR="00B54D71">
        <w:rPr>
          <w:rFonts w:eastAsia="Times New Roman" w:cstheme="minorHAnsi"/>
          <w:color w:val="0E101A"/>
        </w:rPr>
        <w:t>e</w:t>
      </w:r>
      <w:r w:rsidR="00B54D71" w:rsidRPr="000A2300">
        <w:rPr>
          <w:rFonts w:eastAsia="Times New Roman" w:cstheme="minorHAnsi"/>
          <w:color w:val="0E101A"/>
        </w:rPr>
        <w:t xml:space="preserve"> the</w:t>
      </w:r>
      <w:r w:rsidR="00B54D71">
        <w:rPr>
          <w:rFonts w:eastAsia="Times New Roman" w:cstheme="minorHAnsi"/>
          <w:color w:val="0E101A"/>
        </w:rPr>
        <w:t xml:space="preserve"> </w:t>
      </w:r>
      <w:r w:rsidR="00B54D71" w:rsidRPr="000A2300">
        <w:rPr>
          <w:rFonts w:eastAsia="Times New Roman" w:cstheme="minorHAnsi"/>
          <w:color w:val="0E101A"/>
        </w:rPr>
        <w:t>per boat/per trip unrepor</w:t>
      </w:r>
      <w:r w:rsidR="00B54D71">
        <w:rPr>
          <w:rFonts w:eastAsia="Times New Roman" w:cstheme="minorHAnsi"/>
          <w:color w:val="0E101A"/>
        </w:rPr>
        <w:t>ted catch</w:t>
      </w:r>
      <w:r w:rsidR="00B54D71" w:rsidRPr="000A2300">
        <w:rPr>
          <w:rFonts w:eastAsia="Times New Roman" w:cstheme="minorHAnsi"/>
          <w:color w:val="0E101A"/>
        </w:rPr>
        <w:t xml:space="preserve"> rates</w:t>
      </w:r>
      <w:r w:rsidR="00B54D71">
        <w:rPr>
          <w:rFonts w:eastAsia="Times New Roman" w:cstheme="minorHAnsi"/>
          <w:color w:val="0E101A"/>
        </w:rPr>
        <w:t xml:space="preserve"> from </w:t>
      </w:r>
      <w:r w:rsidR="00B54D71" w:rsidRPr="000A2300">
        <w:rPr>
          <w:rFonts w:eastAsia="Times New Roman" w:cstheme="minorHAnsi"/>
          <w:color w:val="0E101A"/>
        </w:rPr>
        <w:t>to an overall yearly estimate</w:t>
      </w:r>
      <w:r w:rsidR="00B54D71">
        <w:rPr>
          <w:rFonts w:eastAsia="Times New Roman" w:cstheme="minorHAnsi"/>
          <w:color w:val="0E101A"/>
        </w:rPr>
        <w:t xml:space="preserve">, </w:t>
      </w:r>
      <w:r w:rsidR="00B54D71" w:rsidRPr="000A2300">
        <w:rPr>
          <w:rFonts w:eastAsia="Times New Roman" w:cstheme="minorHAnsi"/>
          <w:color w:val="0E101A"/>
        </w:rPr>
        <w:t>we</w:t>
      </w:r>
      <w:r w:rsidR="00B54D71">
        <w:rPr>
          <w:rFonts w:eastAsia="Times New Roman" w:cstheme="minorHAnsi"/>
          <w:color w:val="0E101A"/>
        </w:rPr>
        <w:t xml:space="preserve"> first</w:t>
      </w:r>
      <w:r w:rsidR="00B54D71" w:rsidRPr="000A2300">
        <w:rPr>
          <w:rFonts w:eastAsia="Times New Roman" w:cstheme="minorHAnsi"/>
          <w:color w:val="0E101A"/>
        </w:rPr>
        <w:t xml:space="preserve"> fitted a linear model with </w:t>
      </w:r>
      <w:r w:rsidR="00B54D71">
        <w:rPr>
          <w:rFonts w:eastAsia="Times New Roman" w:cstheme="minorHAnsi"/>
          <w:color w:val="0E101A"/>
        </w:rPr>
        <w:t>unreported catch</w:t>
      </w:r>
      <w:r w:rsidR="00B54D71" w:rsidRPr="000A2300">
        <w:rPr>
          <w:rFonts w:eastAsia="Times New Roman" w:cstheme="minorHAnsi"/>
          <w:color w:val="0E101A"/>
        </w:rPr>
        <w:t xml:space="preserve"> rates as the response variable and a binomial predictor of whether boats had high or low quota. Since these estimates were per trip, the second step was to calculate yearly rates of unreport</w:t>
      </w:r>
      <w:r w:rsidR="00B54D71">
        <w:rPr>
          <w:rFonts w:eastAsia="Times New Roman" w:cstheme="minorHAnsi"/>
          <w:color w:val="0E101A"/>
        </w:rPr>
        <w:t>ed catch</w:t>
      </w:r>
      <w:r w:rsidR="00B54D71" w:rsidRPr="000A2300">
        <w:rPr>
          <w:rFonts w:eastAsia="Times New Roman" w:cstheme="minorHAnsi"/>
          <w:color w:val="0E101A"/>
        </w:rPr>
        <w:t xml:space="preserve">. For this, we built two scenarios of the number of trips per boat in a year. The </w:t>
      </w:r>
      <w:r w:rsidR="00B54D71">
        <w:rPr>
          <w:rFonts w:eastAsia="Times New Roman" w:cstheme="minorHAnsi"/>
          <w:color w:val="0E101A"/>
        </w:rPr>
        <w:t>"high" scenario</w:t>
      </w:r>
      <w:r w:rsidR="00B54D71" w:rsidRPr="000A2300">
        <w:rPr>
          <w:rFonts w:eastAsia="Times New Roman" w:cstheme="minorHAnsi"/>
          <w:color w:val="0E101A"/>
        </w:rPr>
        <w:t xml:space="preserve"> considered a 3-day local rule (high scenario), and therefore that </w:t>
      </w:r>
      <w:r w:rsidR="0009045A" w:rsidRPr="000A2300">
        <w:rPr>
          <w:rFonts w:eastAsia="Times New Roman" w:cstheme="minorHAnsi"/>
          <w:color w:val="0E101A"/>
        </w:rPr>
        <w:t>fishers’</w:t>
      </w:r>
      <w:r w:rsidR="00B54D71" w:rsidRPr="000A2300">
        <w:rPr>
          <w:rFonts w:eastAsia="Times New Roman" w:cstheme="minorHAnsi"/>
          <w:color w:val="0E101A"/>
        </w:rPr>
        <w:t xml:space="preserve"> fish three days a week for 11 months (because of a reproductive ban in September)</w:t>
      </w:r>
      <w:r w:rsidR="004F4C30">
        <w:rPr>
          <w:rFonts w:eastAsia="Times New Roman" w:cstheme="minorHAnsi"/>
          <w:color w:val="0E101A"/>
        </w:rPr>
        <w:t xml:space="preserve">. </w:t>
      </w:r>
      <w:r w:rsidR="00B54D71" w:rsidRPr="000A2300">
        <w:rPr>
          <w:rFonts w:eastAsia="Times New Roman" w:cstheme="minorHAnsi"/>
          <w:color w:val="0E101A"/>
        </w:rPr>
        <w:t xml:space="preserve">For the </w:t>
      </w:r>
      <w:r w:rsidR="00B54D71">
        <w:rPr>
          <w:rFonts w:eastAsia="Times New Roman" w:cstheme="minorHAnsi"/>
          <w:color w:val="0E101A"/>
        </w:rPr>
        <w:t>"</w:t>
      </w:r>
      <w:r w:rsidR="00B54D71" w:rsidRPr="000A2300">
        <w:rPr>
          <w:rFonts w:eastAsia="Times New Roman" w:cstheme="minorHAnsi"/>
          <w:color w:val="0E101A"/>
        </w:rPr>
        <w:t>low</w:t>
      </w:r>
      <w:r w:rsidR="00B54D71">
        <w:rPr>
          <w:rFonts w:eastAsia="Times New Roman" w:cstheme="minorHAnsi"/>
          <w:color w:val="0E101A"/>
        </w:rPr>
        <w:t>"</w:t>
      </w:r>
      <w:r w:rsidR="00B54D71" w:rsidRPr="000A2300">
        <w:rPr>
          <w:rFonts w:eastAsia="Times New Roman" w:cstheme="minorHAnsi"/>
          <w:color w:val="0E101A"/>
        </w:rPr>
        <w:t xml:space="preserve"> scenario, we obtained data from SERNAPESCA on the number of registered trips for the region </w:t>
      </w:r>
      <w:r w:rsidR="00B54D71">
        <w:rPr>
          <w:rFonts w:eastAsia="Times New Roman" w:cstheme="minorHAnsi"/>
          <w:color w:val="0E101A"/>
        </w:rPr>
        <w:t>i</w:t>
      </w:r>
      <w:r w:rsidR="00B54D71" w:rsidRPr="000A2300">
        <w:rPr>
          <w:rFonts w:eastAsia="Times New Roman" w:cstheme="minorHAnsi"/>
          <w:color w:val="0E101A"/>
        </w:rPr>
        <w:t>n 2015-2018. From this, we calculate</w:t>
      </w:r>
      <w:r w:rsidR="00B54D71">
        <w:rPr>
          <w:rFonts w:eastAsia="Times New Roman" w:cstheme="minorHAnsi"/>
          <w:color w:val="0E101A"/>
        </w:rPr>
        <w:t>d</w:t>
      </w:r>
      <w:r w:rsidR="00B54D71" w:rsidRPr="000A2300">
        <w:rPr>
          <w:rFonts w:eastAsia="Times New Roman" w:cstheme="minorHAnsi"/>
          <w:color w:val="0E101A"/>
        </w:rPr>
        <w:t xml:space="preserve"> an average per boat number of trips a year. Estimates from these two scenarios were compared to the annual quota limit for the VII region.</w:t>
      </w:r>
    </w:p>
    <w:p w14:paraId="6BB4A004" w14:textId="77777777" w:rsidR="00B54D71" w:rsidRDefault="00B54D71" w:rsidP="008F50FB">
      <w:pPr>
        <w:spacing w:line="360" w:lineRule="auto"/>
      </w:pPr>
    </w:p>
    <w:p w14:paraId="0B6BAFFE" w14:textId="46635ADC" w:rsidR="00B54D71" w:rsidRPr="00476F6C" w:rsidRDefault="00B54D71" w:rsidP="008F50FB">
      <w:pPr>
        <w:spacing w:line="360" w:lineRule="auto"/>
        <w:rPr>
          <w:sz w:val="22"/>
        </w:rPr>
      </w:pPr>
      <w:r w:rsidRPr="00476F6C">
        <w:rPr>
          <w:sz w:val="22"/>
        </w:rPr>
        <w:t>Quantitative estimates of unreport</w:t>
      </w:r>
      <w:r>
        <w:rPr>
          <w:sz w:val="22"/>
        </w:rPr>
        <w:t xml:space="preserve">ed catch </w:t>
      </w:r>
      <w:r w:rsidRPr="00476F6C">
        <w:rPr>
          <w:sz w:val="22"/>
        </w:rPr>
        <w:t>and comparison to assigned quota</w:t>
      </w:r>
      <w:r>
        <w:rPr>
          <w:sz w:val="22"/>
        </w:rPr>
        <w:t xml:space="preserve"> in 2018</w:t>
      </w:r>
      <w:r w:rsidRPr="00476F6C">
        <w:rPr>
          <w:sz w:val="22"/>
        </w:rPr>
        <w:t xml:space="preserve"> (in tons)</w:t>
      </w:r>
    </w:p>
    <w:tbl>
      <w:tblPr>
        <w:tblW w:w="9531" w:type="dxa"/>
        <w:tblBorders>
          <w:top w:val="single" w:sz="4" w:space="0" w:color="auto"/>
          <w:bottom w:val="single" w:sz="4" w:space="0" w:color="auto"/>
        </w:tblBorders>
        <w:tblLook w:val="04A0" w:firstRow="1" w:lastRow="0" w:firstColumn="1" w:lastColumn="0" w:noHBand="0" w:noVBand="1"/>
      </w:tblPr>
      <w:tblGrid>
        <w:gridCol w:w="3823"/>
        <w:gridCol w:w="3081"/>
        <w:gridCol w:w="2627"/>
      </w:tblGrid>
      <w:tr w:rsidR="00B54D71" w:rsidRPr="00476F6C" w14:paraId="438592A9" w14:textId="77777777" w:rsidTr="001076E3">
        <w:trPr>
          <w:trHeight w:val="286"/>
        </w:trPr>
        <w:tc>
          <w:tcPr>
            <w:tcW w:w="3823" w:type="dxa"/>
            <w:tcBorders>
              <w:top w:val="single" w:sz="4" w:space="0" w:color="auto"/>
              <w:bottom w:val="single" w:sz="4" w:space="0" w:color="auto"/>
            </w:tcBorders>
            <w:shd w:val="clear" w:color="auto" w:fill="auto"/>
            <w:noWrap/>
            <w:vAlign w:val="bottom"/>
            <w:hideMark/>
          </w:tcPr>
          <w:p w14:paraId="3D4B6489" w14:textId="77777777" w:rsidR="00B54D71" w:rsidRPr="00476F6C" w:rsidRDefault="00B54D71" w:rsidP="008F50FB">
            <w:pPr>
              <w:spacing w:line="360" w:lineRule="auto"/>
              <w:rPr>
                <w:rFonts w:ascii="Calibri" w:eastAsia="Times New Roman" w:hAnsi="Calibri" w:cs="Calibri"/>
                <w:color w:val="000000"/>
                <w:sz w:val="22"/>
                <w:szCs w:val="22"/>
              </w:rPr>
            </w:pPr>
            <w:r w:rsidRPr="00476F6C">
              <w:rPr>
                <w:rFonts w:ascii="Calibri" w:eastAsia="Times New Roman" w:hAnsi="Calibri" w:cs="Calibri"/>
                <w:color w:val="000000"/>
                <w:sz w:val="22"/>
                <w:szCs w:val="22"/>
              </w:rPr>
              <w:t> </w:t>
            </w:r>
          </w:p>
        </w:tc>
        <w:tc>
          <w:tcPr>
            <w:tcW w:w="3081" w:type="dxa"/>
            <w:tcBorders>
              <w:top w:val="single" w:sz="4" w:space="0" w:color="auto"/>
              <w:bottom w:val="single" w:sz="4" w:space="0" w:color="auto"/>
            </w:tcBorders>
            <w:shd w:val="clear" w:color="auto" w:fill="auto"/>
            <w:noWrap/>
            <w:vAlign w:val="bottom"/>
            <w:hideMark/>
          </w:tcPr>
          <w:p w14:paraId="105CBDA1" w14:textId="77777777" w:rsidR="00B54D71" w:rsidRPr="00476F6C" w:rsidRDefault="00B54D71" w:rsidP="008F50FB">
            <w:pPr>
              <w:spacing w:line="360" w:lineRule="auto"/>
              <w:jc w:val="center"/>
              <w:rPr>
                <w:rFonts w:ascii="Calibri" w:eastAsia="Times New Roman" w:hAnsi="Calibri" w:cs="Calibri"/>
                <w:b/>
                <w:color w:val="000000"/>
                <w:sz w:val="22"/>
                <w:szCs w:val="22"/>
              </w:rPr>
            </w:pPr>
            <w:r w:rsidRPr="00476F6C">
              <w:rPr>
                <w:rFonts w:ascii="Calibri" w:eastAsia="Times New Roman" w:hAnsi="Calibri" w:cs="Calibri"/>
                <w:b/>
                <w:color w:val="000000"/>
                <w:sz w:val="22"/>
                <w:szCs w:val="22"/>
              </w:rPr>
              <w:t>High Scenario</w:t>
            </w:r>
          </w:p>
        </w:tc>
        <w:tc>
          <w:tcPr>
            <w:tcW w:w="2627" w:type="dxa"/>
            <w:tcBorders>
              <w:top w:val="single" w:sz="4" w:space="0" w:color="auto"/>
              <w:bottom w:val="single" w:sz="4" w:space="0" w:color="auto"/>
            </w:tcBorders>
            <w:shd w:val="clear" w:color="auto" w:fill="auto"/>
            <w:noWrap/>
            <w:vAlign w:val="bottom"/>
            <w:hideMark/>
          </w:tcPr>
          <w:p w14:paraId="50E38581" w14:textId="77777777" w:rsidR="00B54D71" w:rsidRPr="00476F6C" w:rsidRDefault="00B54D71" w:rsidP="008F50FB">
            <w:pPr>
              <w:spacing w:line="360" w:lineRule="auto"/>
              <w:jc w:val="center"/>
              <w:rPr>
                <w:rFonts w:ascii="Calibri" w:eastAsia="Times New Roman" w:hAnsi="Calibri" w:cs="Calibri"/>
                <w:b/>
                <w:color w:val="000000"/>
                <w:sz w:val="22"/>
                <w:szCs w:val="22"/>
              </w:rPr>
            </w:pPr>
            <w:r w:rsidRPr="00476F6C">
              <w:rPr>
                <w:rFonts w:ascii="Calibri" w:eastAsia="Times New Roman" w:hAnsi="Calibri" w:cs="Calibri"/>
                <w:b/>
                <w:color w:val="000000"/>
                <w:sz w:val="22"/>
                <w:szCs w:val="22"/>
              </w:rPr>
              <w:t>Low Scenario</w:t>
            </w:r>
          </w:p>
        </w:tc>
      </w:tr>
      <w:tr w:rsidR="00B54D71" w:rsidRPr="00476F6C" w14:paraId="67549D90" w14:textId="77777777" w:rsidTr="001076E3">
        <w:trPr>
          <w:trHeight w:val="286"/>
        </w:trPr>
        <w:tc>
          <w:tcPr>
            <w:tcW w:w="3823" w:type="dxa"/>
            <w:tcBorders>
              <w:top w:val="single" w:sz="4" w:space="0" w:color="auto"/>
            </w:tcBorders>
            <w:shd w:val="clear" w:color="auto" w:fill="auto"/>
            <w:noWrap/>
            <w:vAlign w:val="bottom"/>
            <w:hideMark/>
          </w:tcPr>
          <w:p w14:paraId="76582D57" w14:textId="77777777" w:rsidR="00B54D71" w:rsidRPr="00514644" w:rsidRDefault="00B54D71" w:rsidP="006429D0">
            <w:pPr>
              <w:spacing w:line="276"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Low Quota Boats/trip (Std. Error)</w:t>
            </w:r>
          </w:p>
        </w:tc>
        <w:tc>
          <w:tcPr>
            <w:tcW w:w="5708" w:type="dxa"/>
            <w:gridSpan w:val="2"/>
            <w:tcBorders>
              <w:top w:val="single" w:sz="4" w:space="0" w:color="auto"/>
            </w:tcBorders>
            <w:shd w:val="clear" w:color="auto" w:fill="auto"/>
            <w:noWrap/>
            <w:vAlign w:val="bottom"/>
            <w:hideMark/>
          </w:tcPr>
          <w:p w14:paraId="2FD05B8B" w14:textId="77777777" w:rsidR="00B54D71" w:rsidRPr="00514644" w:rsidRDefault="00B54D71" w:rsidP="006429D0">
            <w:pPr>
              <w:spacing w:line="276" w:lineRule="auto"/>
              <w:jc w:val="center"/>
              <w:rPr>
                <w:rFonts w:ascii="Calibri" w:eastAsia="Times New Roman" w:hAnsi="Calibri" w:cs="Calibri"/>
                <w:i/>
                <w:color w:val="000000"/>
                <w:sz w:val="22"/>
                <w:szCs w:val="22"/>
              </w:rPr>
            </w:pPr>
            <w:r w:rsidRPr="00514644">
              <w:rPr>
                <w:rFonts w:ascii="Calibri" w:eastAsia="Times New Roman" w:hAnsi="Calibri" w:cs="Calibri"/>
                <w:i/>
                <w:color w:val="000000"/>
                <w:sz w:val="22"/>
                <w:szCs w:val="22"/>
              </w:rPr>
              <w:t>0.73 (0.046)</w:t>
            </w:r>
          </w:p>
        </w:tc>
      </w:tr>
      <w:tr w:rsidR="00B54D71" w:rsidRPr="00476F6C" w14:paraId="2E3D484F" w14:textId="77777777" w:rsidTr="001076E3">
        <w:trPr>
          <w:trHeight w:val="286"/>
        </w:trPr>
        <w:tc>
          <w:tcPr>
            <w:tcW w:w="3823" w:type="dxa"/>
            <w:shd w:val="clear" w:color="auto" w:fill="auto"/>
            <w:noWrap/>
            <w:vAlign w:val="bottom"/>
            <w:hideMark/>
          </w:tcPr>
          <w:p w14:paraId="342D94C0" w14:textId="77777777" w:rsidR="00B54D71" w:rsidRPr="00514644" w:rsidRDefault="00B54D71" w:rsidP="006429D0">
            <w:pPr>
              <w:spacing w:line="276"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High Quota Boats/trip (Std. Error)</w:t>
            </w:r>
          </w:p>
        </w:tc>
        <w:tc>
          <w:tcPr>
            <w:tcW w:w="5708" w:type="dxa"/>
            <w:gridSpan w:val="2"/>
            <w:shd w:val="clear" w:color="auto" w:fill="auto"/>
            <w:noWrap/>
            <w:vAlign w:val="bottom"/>
            <w:hideMark/>
          </w:tcPr>
          <w:p w14:paraId="53B051C1" w14:textId="77777777" w:rsidR="00B54D71" w:rsidRPr="00514644" w:rsidRDefault="00B54D71" w:rsidP="006429D0">
            <w:pPr>
              <w:spacing w:line="276" w:lineRule="auto"/>
              <w:jc w:val="center"/>
              <w:rPr>
                <w:rFonts w:ascii="Calibri" w:eastAsia="Times New Roman" w:hAnsi="Calibri" w:cs="Calibri"/>
                <w:i/>
                <w:color w:val="000000"/>
                <w:sz w:val="22"/>
                <w:szCs w:val="22"/>
              </w:rPr>
            </w:pPr>
            <w:r w:rsidRPr="00514644">
              <w:rPr>
                <w:rFonts w:ascii="Calibri" w:eastAsia="Times New Roman" w:hAnsi="Calibri" w:cs="Calibri"/>
                <w:i/>
                <w:color w:val="000000"/>
                <w:sz w:val="22"/>
                <w:szCs w:val="22"/>
              </w:rPr>
              <w:t>0.41 (0.063)</w:t>
            </w:r>
          </w:p>
        </w:tc>
      </w:tr>
      <w:tr w:rsidR="00B54D71" w:rsidRPr="00476F6C" w14:paraId="195AE5B4" w14:textId="77777777" w:rsidTr="001076E3">
        <w:trPr>
          <w:trHeight w:val="286"/>
        </w:trPr>
        <w:tc>
          <w:tcPr>
            <w:tcW w:w="3823" w:type="dxa"/>
            <w:shd w:val="clear" w:color="auto" w:fill="auto"/>
            <w:noWrap/>
            <w:vAlign w:val="bottom"/>
            <w:hideMark/>
          </w:tcPr>
          <w:p w14:paraId="000BC775" w14:textId="77777777" w:rsidR="00B54D71" w:rsidRPr="00514644" w:rsidRDefault="00B54D71" w:rsidP="006429D0">
            <w:pPr>
              <w:spacing w:line="276"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 xml:space="preserve">Per year Region </w:t>
            </w:r>
          </w:p>
        </w:tc>
        <w:tc>
          <w:tcPr>
            <w:tcW w:w="3081" w:type="dxa"/>
            <w:shd w:val="clear" w:color="auto" w:fill="auto"/>
            <w:noWrap/>
            <w:vAlign w:val="bottom"/>
            <w:hideMark/>
          </w:tcPr>
          <w:p w14:paraId="5EEF954A" w14:textId="77777777" w:rsidR="00B54D71" w:rsidRPr="00514644" w:rsidRDefault="00B54D71" w:rsidP="006429D0">
            <w:pPr>
              <w:spacing w:line="276"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24204</w:t>
            </w:r>
          </w:p>
        </w:tc>
        <w:tc>
          <w:tcPr>
            <w:tcW w:w="2627" w:type="dxa"/>
            <w:shd w:val="clear" w:color="auto" w:fill="auto"/>
            <w:noWrap/>
            <w:vAlign w:val="bottom"/>
            <w:hideMark/>
          </w:tcPr>
          <w:p w14:paraId="283F2428" w14:textId="77777777" w:rsidR="00B54D71" w:rsidRPr="00514644" w:rsidRDefault="00B54D71" w:rsidP="006429D0">
            <w:pPr>
              <w:spacing w:line="276"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6658</w:t>
            </w:r>
          </w:p>
        </w:tc>
      </w:tr>
      <w:tr w:rsidR="00B54D71" w:rsidRPr="00476F6C" w14:paraId="7E632F68" w14:textId="77777777" w:rsidTr="001076E3">
        <w:trPr>
          <w:trHeight w:val="286"/>
        </w:trPr>
        <w:tc>
          <w:tcPr>
            <w:tcW w:w="3823" w:type="dxa"/>
            <w:shd w:val="clear" w:color="auto" w:fill="auto"/>
            <w:noWrap/>
            <w:vAlign w:val="bottom"/>
            <w:hideMark/>
          </w:tcPr>
          <w:p w14:paraId="4F2AF5B1" w14:textId="77777777" w:rsidR="00B54D71" w:rsidRPr="00514644" w:rsidRDefault="00B54D71" w:rsidP="006429D0">
            <w:pPr>
              <w:spacing w:line="276"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Quota</w:t>
            </w:r>
          </w:p>
        </w:tc>
        <w:tc>
          <w:tcPr>
            <w:tcW w:w="5708" w:type="dxa"/>
            <w:gridSpan w:val="2"/>
            <w:shd w:val="clear" w:color="auto" w:fill="auto"/>
            <w:noWrap/>
            <w:vAlign w:val="bottom"/>
            <w:hideMark/>
          </w:tcPr>
          <w:p w14:paraId="3E207632" w14:textId="77777777" w:rsidR="00B54D71" w:rsidRPr="00514644" w:rsidRDefault="00B54D71" w:rsidP="006429D0">
            <w:pPr>
              <w:spacing w:line="276"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3267</w:t>
            </w:r>
          </w:p>
        </w:tc>
      </w:tr>
      <w:tr w:rsidR="00B54D71" w:rsidRPr="00476F6C" w14:paraId="27F097D3" w14:textId="77777777" w:rsidTr="001076E3">
        <w:trPr>
          <w:trHeight w:val="286"/>
        </w:trPr>
        <w:tc>
          <w:tcPr>
            <w:tcW w:w="3823" w:type="dxa"/>
            <w:shd w:val="clear" w:color="auto" w:fill="auto"/>
            <w:noWrap/>
            <w:vAlign w:val="bottom"/>
            <w:hideMark/>
          </w:tcPr>
          <w:p w14:paraId="3E1EA16B" w14:textId="77777777" w:rsidR="00B54D71" w:rsidRPr="00514644" w:rsidRDefault="00B54D71" w:rsidP="006429D0">
            <w:pPr>
              <w:spacing w:line="276"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Total Catch</w:t>
            </w:r>
          </w:p>
        </w:tc>
        <w:tc>
          <w:tcPr>
            <w:tcW w:w="3081" w:type="dxa"/>
            <w:shd w:val="clear" w:color="auto" w:fill="auto"/>
            <w:noWrap/>
            <w:vAlign w:val="bottom"/>
            <w:hideMark/>
          </w:tcPr>
          <w:p w14:paraId="38234A6E" w14:textId="77777777" w:rsidR="00B54D71" w:rsidRPr="00514644" w:rsidRDefault="00B54D71" w:rsidP="006429D0">
            <w:pPr>
              <w:spacing w:line="276"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27471</w:t>
            </w:r>
          </w:p>
        </w:tc>
        <w:tc>
          <w:tcPr>
            <w:tcW w:w="2627" w:type="dxa"/>
            <w:shd w:val="clear" w:color="auto" w:fill="auto"/>
            <w:noWrap/>
            <w:vAlign w:val="bottom"/>
            <w:hideMark/>
          </w:tcPr>
          <w:p w14:paraId="3CEB3F85" w14:textId="77777777" w:rsidR="00B54D71" w:rsidRPr="00514644" w:rsidRDefault="00B54D71" w:rsidP="006429D0">
            <w:pPr>
              <w:spacing w:line="276"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9925</w:t>
            </w:r>
          </w:p>
        </w:tc>
      </w:tr>
      <w:tr w:rsidR="00B54D71" w:rsidRPr="00476F6C" w14:paraId="1B941528" w14:textId="77777777" w:rsidTr="001076E3">
        <w:trPr>
          <w:trHeight w:val="286"/>
        </w:trPr>
        <w:tc>
          <w:tcPr>
            <w:tcW w:w="3823" w:type="dxa"/>
            <w:shd w:val="clear" w:color="auto" w:fill="auto"/>
            <w:noWrap/>
            <w:vAlign w:val="bottom"/>
            <w:hideMark/>
          </w:tcPr>
          <w:p w14:paraId="53FD5091" w14:textId="77777777" w:rsidR="00B54D71" w:rsidRPr="00514644" w:rsidRDefault="00B54D71" w:rsidP="006429D0">
            <w:pPr>
              <w:spacing w:line="276" w:lineRule="auto"/>
              <w:rPr>
                <w:rFonts w:ascii="Calibri" w:eastAsia="Times New Roman" w:hAnsi="Calibri" w:cs="Calibri"/>
                <w:b/>
                <w:bCs/>
                <w:color w:val="000000"/>
                <w:sz w:val="22"/>
                <w:szCs w:val="22"/>
              </w:rPr>
            </w:pPr>
            <w:r w:rsidRPr="00514644">
              <w:rPr>
                <w:rFonts w:ascii="Calibri" w:eastAsia="Times New Roman" w:hAnsi="Calibri" w:cs="Calibri"/>
                <w:b/>
                <w:bCs/>
                <w:color w:val="000000"/>
                <w:sz w:val="22"/>
                <w:szCs w:val="22"/>
              </w:rPr>
              <w:t>Unreported Catch (%)</w:t>
            </w:r>
          </w:p>
        </w:tc>
        <w:tc>
          <w:tcPr>
            <w:tcW w:w="3081" w:type="dxa"/>
            <w:shd w:val="clear" w:color="auto" w:fill="auto"/>
            <w:noWrap/>
            <w:vAlign w:val="bottom"/>
            <w:hideMark/>
          </w:tcPr>
          <w:p w14:paraId="3808BF7D" w14:textId="77777777" w:rsidR="00B54D71" w:rsidRPr="00514644" w:rsidRDefault="00B54D71" w:rsidP="006429D0">
            <w:pPr>
              <w:spacing w:line="276" w:lineRule="auto"/>
              <w:jc w:val="center"/>
              <w:rPr>
                <w:rFonts w:ascii="Calibri" w:eastAsia="Times New Roman" w:hAnsi="Calibri" w:cs="Calibri"/>
                <w:b/>
                <w:bCs/>
                <w:color w:val="000000"/>
                <w:sz w:val="22"/>
                <w:szCs w:val="22"/>
              </w:rPr>
            </w:pPr>
            <w:r w:rsidRPr="00514644">
              <w:rPr>
                <w:rFonts w:ascii="Calibri" w:eastAsia="Times New Roman" w:hAnsi="Calibri" w:cs="Calibri"/>
                <w:b/>
                <w:bCs/>
                <w:color w:val="000000"/>
                <w:sz w:val="22"/>
                <w:szCs w:val="22"/>
              </w:rPr>
              <w:t>88</w:t>
            </w:r>
          </w:p>
        </w:tc>
        <w:tc>
          <w:tcPr>
            <w:tcW w:w="2627" w:type="dxa"/>
            <w:shd w:val="clear" w:color="auto" w:fill="auto"/>
            <w:noWrap/>
            <w:vAlign w:val="bottom"/>
            <w:hideMark/>
          </w:tcPr>
          <w:p w14:paraId="42A6FF11" w14:textId="77777777" w:rsidR="00B54D71" w:rsidRPr="00514644" w:rsidRDefault="00B54D71" w:rsidP="006429D0">
            <w:pPr>
              <w:spacing w:line="276" w:lineRule="auto"/>
              <w:jc w:val="center"/>
              <w:rPr>
                <w:rFonts w:ascii="Calibri" w:eastAsia="Times New Roman" w:hAnsi="Calibri" w:cs="Calibri"/>
                <w:b/>
                <w:bCs/>
                <w:color w:val="000000"/>
                <w:sz w:val="22"/>
                <w:szCs w:val="22"/>
              </w:rPr>
            </w:pPr>
            <w:r w:rsidRPr="00514644">
              <w:rPr>
                <w:rFonts w:ascii="Calibri" w:eastAsia="Times New Roman" w:hAnsi="Calibri" w:cs="Calibri"/>
                <w:b/>
                <w:bCs/>
                <w:color w:val="000000"/>
                <w:sz w:val="22"/>
                <w:szCs w:val="22"/>
              </w:rPr>
              <w:t>67</w:t>
            </w:r>
          </w:p>
        </w:tc>
      </w:tr>
    </w:tbl>
    <w:p w14:paraId="37C233AC" w14:textId="3C5A7FB4" w:rsidR="000320F7" w:rsidRPr="00A73D16" w:rsidRDefault="000320F7" w:rsidP="00A73D16">
      <w:pPr>
        <w:pStyle w:val="ListParagraph"/>
        <w:numPr>
          <w:ilvl w:val="0"/>
          <w:numId w:val="5"/>
        </w:numPr>
        <w:spacing w:line="360" w:lineRule="auto"/>
        <w:rPr>
          <w:rFonts w:eastAsia="Times New Roman" w:cstheme="minorHAnsi"/>
          <w:b/>
          <w:color w:val="0E101A"/>
        </w:rPr>
      </w:pPr>
      <w:r w:rsidRPr="00A73D16">
        <w:rPr>
          <w:rFonts w:eastAsia="Times New Roman" w:cstheme="minorHAnsi"/>
          <w:b/>
          <w:color w:val="0E101A"/>
        </w:rPr>
        <w:lastRenderedPageBreak/>
        <w:t>Legal landings data</w:t>
      </w:r>
    </w:p>
    <w:p w14:paraId="2804739A" w14:textId="2684597C" w:rsidR="000320F7" w:rsidRDefault="008412A1" w:rsidP="008F50FB">
      <w:pPr>
        <w:spacing w:line="360" w:lineRule="auto"/>
        <w:ind w:firstLine="720"/>
        <w:rPr>
          <w:rFonts w:eastAsia="Times New Roman" w:cstheme="minorHAnsi"/>
          <w:color w:val="0E101A"/>
        </w:rPr>
      </w:pPr>
      <w:r>
        <w:rPr>
          <w:rFonts w:eastAsia="Times New Roman" w:cstheme="minorHAnsi"/>
          <w:color w:val="0E101A"/>
        </w:rPr>
        <w:t>L</w:t>
      </w:r>
      <w:r w:rsidRPr="000A2300">
        <w:rPr>
          <w:rFonts w:eastAsia="Times New Roman" w:cstheme="minorHAnsi"/>
          <w:color w:val="0E101A"/>
        </w:rPr>
        <w:t>egal landings data</w:t>
      </w:r>
      <w:r>
        <w:rPr>
          <w:rFonts w:eastAsia="Times New Roman" w:cstheme="minorHAnsi"/>
          <w:color w:val="0E101A"/>
        </w:rPr>
        <w:t xml:space="preserve"> </w:t>
      </w:r>
      <w:r w:rsidR="00194A6A">
        <w:rPr>
          <w:rFonts w:eastAsia="Times New Roman" w:cstheme="minorHAnsi"/>
          <w:color w:val="0E101A"/>
        </w:rPr>
        <w:t>includes</w:t>
      </w:r>
      <w:r w:rsidRPr="000A2300">
        <w:rPr>
          <w:rFonts w:eastAsia="Times New Roman" w:cstheme="minorHAnsi"/>
          <w:color w:val="0E101A"/>
        </w:rPr>
        <w:t xml:space="preserve"> anonymised legal transaction</w:t>
      </w:r>
      <w:r>
        <w:rPr>
          <w:rFonts w:eastAsia="Times New Roman" w:cstheme="minorHAnsi"/>
          <w:color w:val="0E101A"/>
        </w:rPr>
        <w:t>s</w:t>
      </w:r>
      <w:r w:rsidRPr="000A2300">
        <w:rPr>
          <w:rFonts w:eastAsia="Times New Roman" w:cstheme="minorHAnsi"/>
          <w:color w:val="0E101A"/>
        </w:rPr>
        <w:t xml:space="preserve"> (reporting) from fishers to intermediaries </w:t>
      </w:r>
      <w:r w:rsidRPr="008822C4">
        <w:rPr>
          <w:rFonts w:eastAsia="Times New Roman" w:cstheme="minorHAnsi"/>
          <w:b/>
          <w:color w:val="0E101A"/>
        </w:rPr>
        <w:t>per day</w:t>
      </w:r>
      <w:r w:rsidRPr="000A2300">
        <w:rPr>
          <w:rFonts w:eastAsia="Times New Roman" w:cstheme="minorHAnsi"/>
          <w:color w:val="0E101A"/>
        </w:rPr>
        <w:t xml:space="preserve"> for the 2014-2019 period in the VII region</w:t>
      </w:r>
      <w:r w:rsidR="00894CEA">
        <w:rPr>
          <w:rFonts w:eastAsia="Times New Roman" w:cstheme="minorHAnsi"/>
          <w:color w:val="0E101A"/>
        </w:rPr>
        <w:t xml:space="preserve">. This data is called </w:t>
      </w:r>
      <w:hyperlink r:id="rId5" w:history="1">
        <w:r w:rsidR="00894CEA" w:rsidRPr="00B567B3">
          <w:rPr>
            <w:rStyle w:val="Hyperlink"/>
            <w:rFonts w:eastAsia="Times New Roman" w:cstheme="minorHAnsi"/>
          </w:rPr>
          <w:t>dataland</w:t>
        </w:r>
        <w:r w:rsidR="00B567B3" w:rsidRPr="00B567B3">
          <w:rPr>
            <w:rStyle w:val="Hyperlink"/>
            <w:rFonts w:eastAsia="Times New Roman" w:cstheme="minorHAnsi"/>
          </w:rPr>
          <w:t>.csv</w:t>
        </w:r>
      </w:hyperlink>
      <w:r w:rsidR="00B567B3">
        <w:rPr>
          <w:rFonts w:eastAsia="Times New Roman" w:cstheme="minorHAnsi"/>
          <w:color w:val="0E101A"/>
        </w:rPr>
        <w:t xml:space="preserve"> in the data folder in github. This data includes</w:t>
      </w:r>
      <w:r w:rsidR="00322F14">
        <w:rPr>
          <w:rFonts w:eastAsia="Times New Roman" w:cstheme="minorHAnsi"/>
          <w:color w:val="0E101A"/>
        </w:rPr>
        <w:t xml:space="preserve"> data of transaction and quantity (kg).</w:t>
      </w:r>
      <w:r w:rsidR="00930570">
        <w:rPr>
          <w:rFonts w:eastAsia="Times New Roman" w:cstheme="minorHAnsi"/>
          <w:color w:val="0E101A"/>
        </w:rPr>
        <w:t xml:space="preserve"> The code in </w:t>
      </w:r>
      <w:hyperlink r:id="rId6" w:history="1">
        <w:r w:rsidR="00930570" w:rsidRPr="00930570">
          <w:rPr>
            <w:rStyle w:val="Hyperlink"/>
            <w:rFonts w:eastAsia="Times New Roman" w:cstheme="minorHAnsi"/>
          </w:rPr>
          <w:t>datasources.r</w:t>
        </w:r>
      </w:hyperlink>
      <w:r w:rsidR="00930570">
        <w:rPr>
          <w:rFonts w:eastAsia="Times New Roman" w:cstheme="minorHAnsi"/>
          <w:color w:val="0E101A"/>
        </w:rPr>
        <w:t xml:space="preserve"> just aggregates these data into weeks</w:t>
      </w:r>
      <w:r w:rsidR="00134213">
        <w:rPr>
          <w:rFonts w:eastAsia="Times New Roman" w:cstheme="minorHAnsi"/>
          <w:color w:val="0E101A"/>
        </w:rPr>
        <w:t>/months</w:t>
      </w:r>
      <w:r w:rsidR="00930570">
        <w:rPr>
          <w:rFonts w:eastAsia="Times New Roman" w:cstheme="minorHAnsi"/>
          <w:color w:val="0E101A"/>
        </w:rPr>
        <w:t>.</w:t>
      </w:r>
      <w:r w:rsidR="005A5B4C">
        <w:rPr>
          <w:rFonts w:eastAsia="Times New Roman" w:cstheme="minorHAnsi"/>
          <w:color w:val="0E101A"/>
        </w:rPr>
        <w:t xml:space="preserve"> Good thing of this data set is that it’s quite big and consistent throughout years, so we know for sure how reporting of hake changes by day.</w:t>
      </w:r>
      <w:r w:rsidR="00236AB8">
        <w:rPr>
          <w:rFonts w:eastAsia="Times New Roman" w:cstheme="minorHAnsi"/>
          <w:color w:val="0E101A"/>
        </w:rPr>
        <w:t xml:space="preserve"> I have been using this data just to compare the simulations in the graph. But, for “filtering” the simulations I just use the overall yearly quota, so </w:t>
      </w:r>
      <w:r w:rsidR="00A40C4B">
        <w:rPr>
          <w:rFonts w:eastAsia="Times New Roman" w:cstheme="minorHAnsi"/>
          <w:color w:val="0E101A"/>
        </w:rPr>
        <w:t>basically,</w:t>
      </w:r>
      <w:r w:rsidR="00236AB8">
        <w:rPr>
          <w:rFonts w:eastAsia="Times New Roman" w:cstheme="minorHAnsi"/>
          <w:color w:val="0E101A"/>
        </w:rPr>
        <w:t xml:space="preserve"> I have not </w:t>
      </w:r>
      <w:r w:rsidR="004601F4">
        <w:rPr>
          <w:rFonts w:eastAsia="Times New Roman" w:cstheme="minorHAnsi"/>
          <w:color w:val="0E101A"/>
        </w:rPr>
        <w:t>been</w:t>
      </w:r>
      <w:r w:rsidR="00236AB8">
        <w:rPr>
          <w:rFonts w:eastAsia="Times New Roman" w:cstheme="minorHAnsi"/>
          <w:color w:val="0E101A"/>
        </w:rPr>
        <w:t xml:space="preserve"> using this data in the model</w:t>
      </w:r>
    </w:p>
    <w:p w14:paraId="22925E4A" w14:textId="6438081C" w:rsidR="00547AD0" w:rsidRDefault="00547AD0" w:rsidP="008F50FB">
      <w:pPr>
        <w:spacing w:line="360" w:lineRule="auto"/>
        <w:ind w:left="360" w:firstLine="349"/>
        <w:rPr>
          <w:rFonts w:eastAsia="Times New Roman" w:cstheme="minorHAnsi"/>
          <w:color w:val="0E101A"/>
        </w:rPr>
      </w:pPr>
    </w:p>
    <w:p w14:paraId="549C0219" w14:textId="3BA66B55" w:rsidR="00547AD0" w:rsidRPr="00B15E3F" w:rsidRDefault="00930570" w:rsidP="008F50FB">
      <w:pPr>
        <w:pStyle w:val="ListParagraph"/>
        <w:numPr>
          <w:ilvl w:val="0"/>
          <w:numId w:val="5"/>
        </w:numPr>
        <w:spacing w:line="360" w:lineRule="auto"/>
        <w:rPr>
          <w:rFonts w:eastAsia="Times New Roman" w:cstheme="minorHAnsi"/>
          <w:b/>
          <w:color w:val="0E101A"/>
        </w:rPr>
      </w:pPr>
      <w:r w:rsidRPr="00B15E3F">
        <w:rPr>
          <w:rFonts w:eastAsia="Times New Roman" w:cstheme="minorHAnsi"/>
          <w:b/>
          <w:color w:val="0E101A"/>
        </w:rPr>
        <w:t>Enforcement record</w:t>
      </w:r>
      <w:r w:rsidR="00FC4448" w:rsidRPr="00B15E3F">
        <w:rPr>
          <w:rFonts w:eastAsia="Times New Roman" w:cstheme="minorHAnsi"/>
          <w:b/>
          <w:color w:val="0E101A"/>
        </w:rPr>
        <w:t>s</w:t>
      </w:r>
      <w:r w:rsidRPr="00B15E3F">
        <w:rPr>
          <w:rFonts w:eastAsia="Times New Roman" w:cstheme="minorHAnsi"/>
          <w:b/>
          <w:color w:val="0E101A"/>
        </w:rPr>
        <w:t xml:space="preserve"> </w:t>
      </w:r>
    </w:p>
    <w:p w14:paraId="747483A5" w14:textId="19775587" w:rsidR="009B3460" w:rsidRDefault="00ED73D8" w:rsidP="008F50FB">
      <w:pPr>
        <w:spacing w:line="360" w:lineRule="auto"/>
        <w:ind w:firstLine="709"/>
        <w:rPr>
          <w:rFonts w:eastAsia="Times New Roman" w:cstheme="minorHAnsi"/>
          <w:color w:val="0E101A"/>
        </w:rPr>
      </w:pPr>
      <w:r>
        <w:rPr>
          <w:rFonts w:eastAsia="Times New Roman" w:cstheme="minorHAnsi"/>
          <w:color w:val="0E101A"/>
        </w:rPr>
        <w:t>Data on enforcement</w:t>
      </w:r>
      <w:r w:rsidR="002F501E" w:rsidRPr="000A2300">
        <w:rPr>
          <w:rFonts w:eastAsia="Times New Roman" w:cstheme="minorHAnsi"/>
          <w:color w:val="0E101A"/>
        </w:rPr>
        <w:t xml:space="preserve"> effort by government authorit</w:t>
      </w:r>
      <w:r w:rsidR="002F501E">
        <w:rPr>
          <w:rFonts w:eastAsia="Times New Roman" w:cstheme="minorHAnsi"/>
          <w:color w:val="0E101A"/>
        </w:rPr>
        <w:t>ies</w:t>
      </w:r>
      <w:r>
        <w:rPr>
          <w:rFonts w:eastAsia="Times New Roman" w:cstheme="minorHAnsi"/>
          <w:color w:val="0E101A"/>
        </w:rPr>
        <w:t xml:space="preserve"> </w:t>
      </w:r>
      <w:r w:rsidR="002F501E" w:rsidRPr="000A2300">
        <w:rPr>
          <w:rFonts w:eastAsia="Times New Roman" w:cstheme="minorHAnsi"/>
          <w:color w:val="0E101A"/>
        </w:rPr>
        <w:t>include</w:t>
      </w:r>
      <w:r w:rsidR="00BD1CCA">
        <w:rPr>
          <w:rFonts w:eastAsia="Times New Roman" w:cstheme="minorHAnsi"/>
          <w:color w:val="0E101A"/>
        </w:rPr>
        <w:t>s</w:t>
      </w:r>
      <w:r w:rsidR="002F501E" w:rsidRPr="000A2300">
        <w:rPr>
          <w:rFonts w:eastAsia="Times New Roman" w:cstheme="minorHAnsi"/>
          <w:color w:val="0E101A"/>
        </w:rPr>
        <w:t xml:space="preserve"> all enforcement activities done </w:t>
      </w:r>
      <w:r w:rsidR="002F501E" w:rsidRPr="008822C4">
        <w:rPr>
          <w:rFonts w:eastAsia="Times New Roman" w:cstheme="minorHAnsi"/>
          <w:b/>
          <w:color w:val="0E101A"/>
        </w:rPr>
        <w:t>per day</w:t>
      </w:r>
      <w:r w:rsidR="002F501E" w:rsidRPr="000A2300">
        <w:rPr>
          <w:rFonts w:eastAsia="Times New Roman" w:cstheme="minorHAnsi"/>
          <w:color w:val="0E101A"/>
        </w:rPr>
        <w:t xml:space="preserve"> for the 2014-2019 period</w:t>
      </w:r>
      <w:r w:rsidR="00134213">
        <w:rPr>
          <w:rFonts w:eastAsia="Times New Roman" w:cstheme="minorHAnsi"/>
          <w:color w:val="0E101A"/>
        </w:rPr>
        <w:t xml:space="preserve">, including date, species and a code for each enforcement action. </w:t>
      </w:r>
      <w:r w:rsidR="0085737B">
        <w:rPr>
          <w:rFonts w:eastAsia="Times New Roman" w:cstheme="minorHAnsi"/>
          <w:color w:val="0E101A"/>
        </w:rPr>
        <w:t xml:space="preserve">The data is called </w:t>
      </w:r>
      <w:proofErr w:type="spellStart"/>
      <w:r w:rsidR="00134213">
        <w:rPr>
          <w:rFonts w:eastAsia="Times New Roman" w:cstheme="minorHAnsi"/>
          <w:color w:val="0E101A"/>
        </w:rPr>
        <w:t>EnforcementData</w:t>
      </w:r>
      <w:proofErr w:type="spellEnd"/>
      <w:r w:rsidR="00134213">
        <w:rPr>
          <w:rFonts w:eastAsia="Times New Roman" w:cstheme="minorHAnsi"/>
          <w:color w:val="0E101A"/>
        </w:rPr>
        <w:t xml:space="preserve">, but it’s too big to uploaded to github, so I’ll have to send it by email. </w:t>
      </w:r>
      <w:r w:rsidR="00134213">
        <w:rPr>
          <w:rFonts w:eastAsia="Times New Roman" w:cstheme="minorHAnsi"/>
          <w:color w:val="0E101A"/>
        </w:rPr>
        <w:t xml:space="preserve">The code in </w:t>
      </w:r>
      <w:hyperlink r:id="rId7" w:history="1">
        <w:r w:rsidR="00134213" w:rsidRPr="00930570">
          <w:rPr>
            <w:rStyle w:val="Hyperlink"/>
            <w:rFonts w:eastAsia="Times New Roman" w:cstheme="minorHAnsi"/>
          </w:rPr>
          <w:t>datasources.r</w:t>
        </w:r>
      </w:hyperlink>
      <w:r w:rsidR="00134213">
        <w:rPr>
          <w:rFonts w:eastAsia="Times New Roman" w:cstheme="minorHAnsi"/>
          <w:color w:val="0E101A"/>
        </w:rPr>
        <w:t xml:space="preserve"> just aggregates these data into weeks</w:t>
      </w:r>
      <w:r w:rsidR="00134213">
        <w:rPr>
          <w:rFonts w:eastAsia="Times New Roman" w:cstheme="minorHAnsi"/>
          <w:color w:val="0E101A"/>
        </w:rPr>
        <w:t>/months.</w:t>
      </w:r>
      <w:r w:rsidR="005A5B4C">
        <w:rPr>
          <w:rFonts w:eastAsia="Times New Roman" w:cstheme="minorHAnsi"/>
          <w:color w:val="0E101A"/>
        </w:rPr>
        <w:t xml:space="preserve"> Also a very big dataset, but not as complete as legal landings, just because there isn’t enforcement activity every day or week.</w:t>
      </w:r>
      <w:r w:rsidR="0005018E">
        <w:rPr>
          <w:rFonts w:eastAsia="Times New Roman" w:cstheme="minorHAnsi"/>
          <w:color w:val="0E101A"/>
        </w:rPr>
        <w:t xml:space="preserve"> </w:t>
      </w:r>
      <w:proofErr w:type="spellStart"/>
      <w:r w:rsidR="0005018E">
        <w:rPr>
          <w:rFonts w:eastAsia="Times New Roman" w:cstheme="minorHAnsi"/>
          <w:color w:val="0E101A"/>
        </w:rPr>
        <w:t>Its</w:t>
      </w:r>
      <w:proofErr w:type="spellEnd"/>
      <w:r w:rsidR="0005018E">
        <w:rPr>
          <w:rFonts w:eastAsia="Times New Roman" w:cstheme="minorHAnsi"/>
          <w:color w:val="0E101A"/>
        </w:rPr>
        <w:t xml:space="preserve"> important to note that I have not really been using this data</w:t>
      </w:r>
      <w:r w:rsidR="007A749F">
        <w:rPr>
          <w:rFonts w:eastAsia="Times New Roman" w:cstheme="minorHAnsi"/>
          <w:color w:val="0E101A"/>
        </w:rPr>
        <w:t xml:space="preserve"> either, since my Detectability min and max are not coming from this data, but from a calculation of what would be the detectability at a specific level of illegality (88%).</w:t>
      </w:r>
    </w:p>
    <w:p w14:paraId="746DF0FF" w14:textId="5A733CA6" w:rsidR="008822C4" w:rsidRDefault="008822C4" w:rsidP="008F50FB">
      <w:pPr>
        <w:spacing w:line="360" w:lineRule="auto"/>
        <w:rPr>
          <w:rFonts w:eastAsia="Times New Roman" w:cstheme="minorHAnsi"/>
          <w:color w:val="0E101A"/>
        </w:rPr>
      </w:pPr>
    </w:p>
    <w:p w14:paraId="3B899E88" w14:textId="23E8FCB4" w:rsidR="0073626B" w:rsidRPr="00B15E3F" w:rsidRDefault="0073626B" w:rsidP="008F50FB">
      <w:pPr>
        <w:pStyle w:val="ListParagraph"/>
        <w:numPr>
          <w:ilvl w:val="0"/>
          <w:numId w:val="5"/>
        </w:numPr>
        <w:spacing w:line="360" w:lineRule="auto"/>
        <w:rPr>
          <w:rFonts w:eastAsia="Times New Roman" w:cstheme="minorHAnsi"/>
          <w:b/>
          <w:color w:val="0E101A"/>
        </w:rPr>
      </w:pPr>
      <w:r w:rsidRPr="00B15E3F">
        <w:rPr>
          <w:rFonts w:eastAsia="Times New Roman" w:cstheme="minorHAnsi"/>
          <w:b/>
          <w:color w:val="0E101A"/>
        </w:rPr>
        <w:t>Price data</w:t>
      </w:r>
    </w:p>
    <w:p w14:paraId="37682CBE" w14:textId="7B44D818" w:rsidR="0073626B" w:rsidRDefault="0073626B" w:rsidP="008F50FB">
      <w:pPr>
        <w:spacing w:line="360" w:lineRule="auto"/>
        <w:ind w:firstLine="709"/>
        <w:rPr>
          <w:rFonts w:eastAsia="Times New Roman" w:cstheme="minorHAnsi"/>
          <w:color w:val="0E101A"/>
        </w:rPr>
      </w:pPr>
      <w:r>
        <w:rPr>
          <w:rFonts w:eastAsia="Times New Roman" w:cstheme="minorHAnsi"/>
          <w:color w:val="0E101A"/>
        </w:rPr>
        <w:t xml:space="preserve">Data on price comes from surveys at ports. </w:t>
      </w:r>
      <w:r w:rsidR="008B564F">
        <w:rPr>
          <w:rFonts w:eastAsia="Times New Roman" w:cstheme="minorHAnsi"/>
          <w:color w:val="0E101A"/>
        </w:rPr>
        <w:t xml:space="preserve">These data is only aggregated at the month level. </w:t>
      </w:r>
      <w:r w:rsidR="009930CA">
        <w:rPr>
          <w:rFonts w:eastAsia="Times New Roman" w:cstheme="minorHAnsi"/>
          <w:color w:val="0E101A"/>
        </w:rPr>
        <w:t xml:space="preserve">It includes date, species, place and price. Data is in </w:t>
      </w:r>
      <w:hyperlink r:id="rId8" w:history="1">
        <w:r w:rsidR="009930CA" w:rsidRPr="009930CA">
          <w:rPr>
            <w:rStyle w:val="Hyperlink"/>
            <w:rFonts w:eastAsia="Times New Roman" w:cstheme="minorHAnsi"/>
          </w:rPr>
          <w:t>AllPrices.csv</w:t>
        </w:r>
      </w:hyperlink>
      <w:r w:rsidR="009930CA">
        <w:rPr>
          <w:rFonts w:eastAsia="Times New Roman" w:cstheme="minorHAnsi"/>
          <w:color w:val="0E101A"/>
        </w:rPr>
        <w:t xml:space="preserve"> and then in </w:t>
      </w:r>
      <w:hyperlink r:id="rId9" w:history="1">
        <w:r w:rsidR="009930CA" w:rsidRPr="00930570">
          <w:rPr>
            <w:rStyle w:val="Hyperlink"/>
            <w:rFonts w:eastAsia="Times New Roman" w:cstheme="minorHAnsi"/>
          </w:rPr>
          <w:t>datasources.r</w:t>
        </w:r>
      </w:hyperlink>
      <w:r w:rsidR="009930CA">
        <w:rPr>
          <w:rFonts w:eastAsia="Times New Roman" w:cstheme="minorHAnsi"/>
          <w:color w:val="0E101A"/>
        </w:rPr>
        <w:t xml:space="preserve"> I just aggregate that into monthly averages</w:t>
      </w:r>
      <w:r w:rsidR="00AF40C0">
        <w:rPr>
          <w:rFonts w:eastAsia="Times New Roman" w:cstheme="minorHAnsi"/>
          <w:color w:val="0E101A"/>
        </w:rPr>
        <w:t>.</w:t>
      </w:r>
      <w:r w:rsidR="005A5B4C">
        <w:rPr>
          <w:rFonts w:eastAsia="Times New Roman" w:cstheme="minorHAnsi"/>
          <w:color w:val="0E101A"/>
        </w:rPr>
        <w:t xml:space="preserve"> This is the least complete data set, as people only go to survey prices at the port from time to time, so </w:t>
      </w:r>
      <w:r w:rsidR="00A24CD5">
        <w:rPr>
          <w:rFonts w:eastAsia="Times New Roman" w:cstheme="minorHAnsi"/>
          <w:color w:val="0E101A"/>
        </w:rPr>
        <w:t>there’s</w:t>
      </w:r>
      <w:r w:rsidR="005A5B4C">
        <w:rPr>
          <w:rFonts w:eastAsia="Times New Roman" w:cstheme="minorHAnsi"/>
          <w:color w:val="0E101A"/>
        </w:rPr>
        <w:t xml:space="preserve"> lots of unfilled data points, and its only aggregable at the month level, cause government does not provide day when it was measured, only month and year.</w:t>
      </w:r>
      <w:r w:rsidR="00D55DC8">
        <w:rPr>
          <w:rFonts w:eastAsia="Times New Roman" w:cstheme="minorHAnsi"/>
          <w:color w:val="0E101A"/>
        </w:rPr>
        <w:t xml:space="preserve"> Same than above, I have not been using this data at all, I just used data on average prices from my fieldwork.</w:t>
      </w:r>
    </w:p>
    <w:p w14:paraId="68E7C4A7" w14:textId="32207032" w:rsidR="00AF40C0" w:rsidRDefault="00AF40C0" w:rsidP="008F50FB">
      <w:pPr>
        <w:spacing w:line="360" w:lineRule="auto"/>
        <w:ind w:firstLine="709"/>
        <w:rPr>
          <w:rFonts w:eastAsia="Times New Roman" w:cstheme="minorHAnsi"/>
          <w:color w:val="0E101A"/>
        </w:rPr>
      </w:pPr>
    </w:p>
    <w:p w14:paraId="217D0801" w14:textId="0D672AEC" w:rsidR="00A40C4B" w:rsidRDefault="00A40C4B" w:rsidP="008F50FB">
      <w:pPr>
        <w:spacing w:line="360" w:lineRule="auto"/>
        <w:ind w:firstLine="709"/>
        <w:rPr>
          <w:rFonts w:eastAsia="Times New Roman" w:cstheme="minorHAnsi"/>
          <w:color w:val="0E101A"/>
        </w:rPr>
      </w:pPr>
    </w:p>
    <w:p w14:paraId="49E6632B" w14:textId="77777777" w:rsidR="000D61C2" w:rsidRDefault="000D61C2" w:rsidP="008F50FB">
      <w:pPr>
        <w:spacing w:line="360" w:lineRule="auto"/>
        <w:ind w:firstLine="709"/>
        <w:rPr>
          <w:rFonts w:eastAsia="Times New Roman" w:cstheme="minorHAnsi"/>
          <w:color w:val="0E101A"/>
        </w:rPr>
      </w:pPr>
    </w:p>
    <w:p w14:paraId="4E39C09A" w14:textId="134051EE" w:rsidR="00AF40C0" w:rsidRPr="00B15E3F" w:rsidRDefault="00DB33E5" w:rsidP="008F50FB">
      <w:pPr>
        <w:pStyle w:val="ListParagraph"/>
        <w:numPr>
          <w:ilvl w:val="0"/>
          <w:numId w:val="5"/>
        </w:numPr>
        <w:spacing w:line="360" w:lineRule="auto"/>
        <w:rPr>
          <w:rFonts w:eastAsia="Times New Roman" w:cstheme="minorHAnsi"/>
          <w:b/>
          <w:color w:val="0E101A"/>
        </w:rPr>
      </w:pPr>
      <w:r w:rsidRPr="00B15E3F">
        <w:rPr>
          <w:rFonts w:eastAsia="Times New Roman" w:cstheme="minorHAnsi"/>
          <w:b/>
          <w:color w:val="0E101A"/>
        </w:rPr>
        <w:lastRenderedPageBreak/>
        <w:t>Findings from fieldwork</w:t>
      </w:r>
    </w:p>
    <w:p w14:paraId="74B6E82C" w14:textId="77777777" w:rsidR="00B15E3F" w:rsidRPr="00C374C7" w:rsidRDefault="00B15E3F" w:rsidP="008F50FB">
      <w:pPr>
        <w:spacing w:line="360" w:lineRule="auto"/>
        <w:rPr>
          <w:rFonts w:eastAsia="Times New Roman" w:cstheme="minorHAnsi"/>
          <w:color w:val="0E101A"/>
        </w:rPr>
      </w:pPr>
    </w:p>
    <w:p w14:paraId="1E6CE5C6" w14:textId="23A63AB8" w:rsidR="00B15E3F" w:rsidRPr="00C374C7" w:rsidRDefault="00B15E3F" w:rsidP="008F50FB">
      <w:pPr>
        <w:spacing w:line="360" w:lineRule="auto"/>
        <w:ind w:firstLine="720"/>
        <w:rPr>
          <w:rFonts w:eastAsia="Times New Roman" w:cstheme="minorHAnsi"/>
          <w:color w:val="0E101A"/>
        </w:rPr>
      </w:pPr>
      <w:r w:rsidRPr="00C374C7">
        <w:rPr>
          <w:rFonts w:eastAsia="Times New Roman" w:cstheme="minorHAnsi"/>
          <w:color w:val="0E101A"/>
        </w:rPr>
        <w:t>- Price formation</w:t>
      </w:r>
    </w:p>
    <w:p w14:paraId="52B79C9E" w14:textId="63165898" w:rsidR="00B15E3F" w:rsidRPr="00C374C7" w:rsidRDefault="00B15E3F" w:rsidP="008F50FB">
      <w:pPr>
        <w:spacing w:line="360" w:lineRule="auto"/>
        <w:rPr>
          <w:rFonts w:eastAsia="Times New Roman" w:cstheme="minorHAnsi"/>
          <w:color w:val="0E101A"/>
        </w:rPr>
      </w:pPr>
      <w:r w:rsidRPr="00C374C7">
        <w:rPr>
          <w:rFonts w:eastAsia="Times New Roman" w:cstheme="minorHAnsi"/>
          <w:color w:val="0E101A"/>
        </w:rPr>
        <w:t xml:space="preserve">           When asked about what determined price formation </w:t>
      </w:r>
      <w:r>
        <w:rPr>
          <w:rFonts w:eastAsia="Times New Roman" w:cstheme="minorHAnsi"/>
          <w:color w:val="0E101A"/>
        </w:rPr>
        <w:t>in</w:t>
      </w:r>
      <w:r w:rsidRPr="00C374C7">
        <w:rPr>
          <w:rFonts w:eastAsia="Times New Roman" w:cstheme="minorHAnsi"/>
          <w:color w:val="0E101A"/>
        </w:rPr>
        <w:t xml:space="preserve"> the common</w:t>
      </w:r>
      <w:r>
        <w:rPr>
          <w:rFonts w:eastAsia="Times New Roman" w:cstheme="minorHAnsi"/>
          <w:color w:val="0E101A"/>
        </w:rPr>
        <w:t xml:space="preserve"> </w:t>
      </w:r>
      <w:r w:rsidRPr="00C374C7">
        <w:rPr>
          <w:rFonts w:eastAsia="Times New Roman" w:cstheme="minorHAnsi"/>
          <w:color w:val="0E101A"/>
        </w:rPr>
        <w:t>hake fishery, respondents of the key-informant survey consistently pointed out that price, both at the market and port level, depended on quantities landed</w:t>
      </w:r>
      <w:r>
        <w:rPr>
          <w:rFonts w:eastAsia="Times New Roman" w:cstheme="minorHAnsi"/>
          <w:color w:val="0E101A"/>
        </w:rPr>
        <w:t xml:space="preserve">. </w:t>
      </w:r>
      <w:r w:rsidRPr="00C374C7">
        <w:rPr>
          <w:rFonts w:eastAsia="Times New Roman" w:cstheme="minorHAnsi"/>
          <w:color w:val="0E101A"/>
        </w:rPr>
        <w:t xml:space="preserve">Respondents that belong to fisher or </w:t>
      </w:r>
      <w:r w:rsidR="002B2A50">
        <w:rPr>
          <w:rFonts w:eastAsia="Times New Roman" w:cstheme="minorHAnsi"/>
          <w:color w:val="0E101A"/>
        </w:rPr>
        <w:t xml:space="preserve">the </w:t>
      </w:r>
      <w:r w:rsidRPr="00C374C7">
        <w:rPr>
          <w:rFonts w:eastAsia="Times New Roman" w:cstheme="minorHAnsi"/>
          <w:color w:val="0E101A"/>
        </w:rPr>
        <w:t xml:space="preserve">trader sector pointed out that price was determined at the fishing terminal level, but that it depended, ultimately, on landings across the country. </w:t>
      </w:r>
    </w:p>
    <w:p w14:paraId="6900425F" w14:textId="77777777" w:rsidR="00B15E3F" w:rsidRPr="00C374C7" w:rsidRDefault="00B15E3F" w:rsidP="008F50FB">
      <w:pPr>
        <w:spacing w:line="360" w:lineRule="auto"/>
        <w:rPr>
          <w:rFonts w:eastAsia="Times New Roman" w:cstheme="minorHAnsi"/>
          <w:color w:val="0E101A"/>
        </w:rPr>
      </w:pPr>
    </w:p>
    <w:p w14:paraId="49FF22B5" w14:textId="36FEC861" w:rsidR="00B15E3F" w:rsidRDefault="00B15E3F" w:rsidP="008F50FB">
      <w:pPr>
        <w:spacing w:line="360" w:lineRule="auto"/>
        <w:rPr>
          <w:rFonts w:eastAsia="Times New Roman" w:cstheme="minorHAnsi"/>
          <w:color w:val="0E101A"/>
        </w:rPr>
      </w:pPr>
      <w:r w:rsidRPr="00C374C7">
        <w:rPr>
          <w:rFonts w:eastAsia="Times New Roman" w:cstheme="minorHAnsi"/>
          <w:color w:val="0E101A"/>
        </w:rPr>
        <w:t>           While variable, respondents consistently identified prices within a range. At the port, prices varied between $</w:t>
      </w:r>
      <w:r w:rsidR="002B2A50">
        <w:rPr>
          <w:rFonts w:eastAsia="Times New Roman" w:cstheme="minorHAnsi"/>
          <w:color w:val="0E101A"/>
        </w:rPr>
        <w:t>3</w:t>
      </w:r>
      <w:r w:rsidRPr="00C374C7">
        <w:rPr>
          <w:rFonts w:eastAsia="Times New Roman" w:cstheme="minorHAnsi"/>
          <w:color w:val="0E101A"/>
        </w:rPr>
        <w:t>,000 and $15,000 pesos for a box of 27-30 kg. Over this price, a visa or permit value was charged by fishers for reported (legal) boxes. Respondent consistently identified the value of this permit at $3,000 per box. However, fishers mentioned that this permit's value can go down by the end of the year when fishers have an excess of permit and rush to sell catch with a permit.</w:t>
      </w:r>
    </w:p>
    <w:p w14:paraId="5BE35EAE" w14:textId="77777777" w:rsidR="00B15E3F" w:rsidRPr="00C374C7" w:rsidRDefault="00B15E3F" w:rsidP="008F50FB">
      <w:pPr>
        <w:spacing w:line="360" w:lineRule="auto"/>
        <w:rPr>
          <w:rFonts w:eastAsia="Times New Roman" w:cstheme="minorHAnsi"/>
          <w:color w:val="0E101A"/>
        </w:rPr>
      </w:pPr>
    </w:p>
    <w:p w14:paraId="3CB42CC0" w14:textId="77777777" w:rsidR="00B15E3F" w:rsidRPr="00C374C7" w:rsidRDefault="00B15E3F" w:rsidP="008F50FB">
      <w:pPr>
        <w:spacing w:line="360" w:lineRule="auto"/>
        <w:ind w:firstLine="720"/>
        <w:rPr>
          <w:rFonts w:eastAsia="Times New Roman" w:cstheme="minorHAnsi"/>
          <w:color w:val="0E101A"/>
        </w:rPr>
      </w:pPr>
      <w:r w:rsidRPr="00C374C7">
        <w:rPr>
          <w:rFonts w:eastAsia="Times New Roman" w:cstheme="minorHAnsi"/>
          <w:color w:val="0E101A"/>
        </w:rPr>
        <w:t>When fishers and traders were asked whether the amount of fish landed depended on prices, they indicated that most of the times fishers do not even know the prices they will sell for before going out fishing (some fishers indicated that they would not go when</w:t>
      </w:r>
      <w:r>
        <w:rPr>
          <w:rFonts w:eastAsia="Times New Roman" w:cstheme="minorHAnsi"/>
          <w:color w:val="0E101A"/>
        </w:rPr>
        <w:t xml:space="preserve"> price</w:t>
      </w:r>
      <w:r w:rsidRPr="00C374C7">
        <w:rPr>
          <w:rFonts w:eastAsia="Times New Roman" w:cstheme="minorHAnsi"/>
          <w:color w:val="0E101A"/>
        </w:rPr>
        <w:t xml:space="preserve"> is very low, but this </w:t>
      </w:r>
      <w:r>
        <w:rPr>
          <w:rFonts w:eastAsia="Times New Roman" w:cstheme="minorHAnsi"/>
          <w:color w:val="0E101A"/>
        </w:rPr>
        <w:t>was</w:t>
      </w:r>
      <w:r w:rsidRPr="00C374C7">
        <w:rPr>
          <w:rFonts w:eastAsia="Times New Roman" w:cstheme="minorHAnsi"/>
          <w:color w:val="0E101A"/>
        </w:rPr>
        <w:t xml:space="preserve"> not often and </w:t>
      </w:r>
      <w:r>
        <w:rPr>
          <w:rFonts w:eastAsia="Times New Roman" w:cstheme="minorHAnsi"/>
          <w:color w:val="0E101A"/>
        </w:rPr>
        <w:t>did</w:t>
      </w:r>
      <w:r w:rsidRPr="00C374C7">
        <w:rPr>
          <w:rFonts w:eastAsia="Times New Roman" w:cstheme="minorHAnsi"/>
          <w:color w:val="0E101A"/>
        </w:rPr>
        <w:t xml:space="preserve"> not sustain over time). As such, </w:t>
      </w:r>
      <w:r>
        <w:rPr>
          <w:rFonts w:eastAsia="Times New Roman" w:cstheme="minorHAnsi"/>
          <w:color w:val="0E101A"/>
        </w:rPr>
        <w:t xml:space="preserve">respondents implied that </w:t>
      </w:r>
      <w:r w:rsidRPr="00C374C7">
        <w:rPr>
          <w:rFonts w:eastAsia="Times New Roman" w:cstheme="minorHAnsi"/>
          <w:color w:val="0E101A"/>
        </w:rPr>
        <w:t>fishers do not respond to prices. Fishers indicated that demand drives price and affects fishing behaviour only</w:t>
      </w:r>
      <w:r>
        <w:rPr>
          <w:rFonts w:eastAsia="Times New Roman" w:cstheme="minorHAnsi"/>
          <w:color w:val="0E101A"/>
        </w:rPr>
        <w:t xml:space="preserve"> in preparation for and</w:t>
      </w:r>
      <w:r w:rsidRPr="00C374C7">
        <w:rPr>
          <w:rFonts w:eastAsia="Times New Roman" w:cstheme="minorHAnsi"/>
          <w:color w:val="0E101A"/>
        </w:rPr>
        <w:t xml:space="preserve"> during eastern</w:t>
      </w:r>
      <w:r>
        <w:rPr>
          <w:rFonts w:eastAsia="Times New Roman" w:cstheme="minorHAnsi"/>
          <w:color w:val="0E101A"/>
        </w:rPr>
        <w:t xml:space="preserve"> (March)</w:t>
      </w:r>
      <w:r w:rsidRPr="00C374C7">
        <w:rPr>
          <w:rFonts w:eastAsia="Times New Roman" w:cstheme="minorHAnsi"/>
          <w:color w:val="0E101A"/>
        </w:rPr>
        <w:t>.</w:t>
      </w:r>
    </w:p>
    <w:p w14:paraId="67259F09" w14:textId="77777777" w:rsidR="00B15E3F" w:rsidRPr="00C374C7" w:rsidRDefault="00B15E3F" w:rsidP="008F50FB">
      <w:pPr>
        <w:spacing w:line="360" w:lineRule="auto"/>
        <w:rPr>
          <w:rFonts w:eastAsia="Times New Roman" w:cstheme="minorHAnsi"/>
          <w:color w:val="0E101A"/>
        </w:rPr>
      </w:pPr>
    </w:p>
    <w:p w14:paraId="2952FB94" w14:textId="77777777" w:rsidR="00B15E3F" w:rsidRPr="00C374C7" w:rsidRDefault="00B15E3F" w:rsidP="008F50FB">
      <w:pPr>
        <w:spacing w:line="360" w:lineRule="auto"/>
        <w:rPr>
          <w:rFonts w:eastAsia="Times New Roman" w:cstheme="minorHAnsi"/>
          <w:color w:val="0E101A"/>
        </w:rPr>
      </w:pPr>
      <w:r w:rsidRPr="00C374C7">
        <w:rPr>
          <w:rFonts w:eastAsia="Times New Roman" w:cstheme="minorHAnsi"/>
          <w:color w:val="0E101A"/>
        </w:rPr>
        <w:t>           Market operators and traders indicated that demand is constant across the year (except eastern) because the main markets where common hake is sold (open-air markets) maintain prices relatively stable. Market operators indicated that this stability is caused by an upper limit at which common hake can be sold before consumer shift to other animal-protein based products such as pork or chicken. The lower limit is set by a constant demand for common hake as the cheapest fresh fish product available. Respondents indicated that prices at the fishing terminal vary between $17,000 and $30,000 pesos per box.</w:t>
      </w:r>
    </w:p>
    <w:p w14:paraId="6F8A3866" w14:textId="6E7C5111" w:rsidR="00B15E3F" w:rsidRDefault="00B15E3F" w:rsidP="008F50FB">
      <w:pPr>
        <w:spacing w:line="360" w:lineRule="auto"/>
        <w:rPr>
          <w:rFonts w:eastAsia="Times New Roman" w:cstheme="minorHAnsi"/>
          <w:color w:val="0E101A"/>
        </w:rPr>
      </w:pPr>
    </w:p>
    <w:p w14:paraId="323EE96B" w14:textId="77777777" w:rsidR="00AF366B" w:rsidRPr="00C374C7" w:rsidRDefault="00AF366B" w:rsidP="008F50FB">
      <w:pPr>
        <w:spacing w:line="360" w:lineRule="auto"/>
        <w:rPr>
          <w:rFonts w:eastAsia="Times New Roman" w:cstheme="minorHAnsi"/>
          <w:color w:val="0E101A"/>
        </w:rPr>
      </w:pPr>
    </w:p>
    <w:p w14:paraId="0EE8C91A" w14:textId="1117D440" w:rsidR="00B15E3F" w:rsidRPr="00C374C7" w:rsidRDefault="00B15E3F" w:rsidP="008F50FB">
      <w:pPr>
        <w:spacing w:line="360" w:lineRule="auto"/>
        <w:ind w:firstLine="720"/>
        <w:rPr>
          <w:rFonts w:eastAsia="Times New Roman" w:cstheme="minorHAnsi"/>
          <w:color w:val="0E101A"/>
        </w:rPr>
      </w:pPr>
      <w:r w:rsidRPr="00C374C7">
        <w:rPr>
          <w:rFonts w:eastAsia="Times New Roman" w:cstheme="minorHAnsi"/>
          <w:color w:val="0E101A"/>
        </w:rPr>
        <w:lastRenderedPageBreak/>
        <w:t>- Trader – fisher relationship characterisation</w:t>
      </w:r>
    </w:p>
    <w:p w14:paraId="1377A93D" w14:textId="77777777" w:rsidR="00B15E3F" w:rsidRDefault="00B15E3F" w:rsidP="008F50FB">
      <w:pPr>
        <w:spacing w:line="360" w:lineRule="auto"/>
        <w:rPr>
          <w:rFonts w:eastAsia="Times New Roman" w:cstheme="minorHAnsi"/>
          <w:color w:val="0E101A"/>
        </w:rPr>
      </w:pPr>
      <w:r w:rsidRPr="00C374C7">
        <w:rPr>
          <w:rFonts w:eastAsia="Times New Roman" w:cstheme="minorHAnsi"/>
          <w:color w:val="0E101A"/>
        </w:rPr>
        <w:t xml:space="preserve">           We then asked respondents to characterise the relationship between fishers and traders. Respondents overwhelmingly pointed out to the excessive power of traders to </w:t>
      </w:r>
      <w:r>
        <w:rPr>
          <w:rFonts w:eastAsia="Times New Roman" w:cstheme="minorHAnsi"/>
          <w:color w:val="0E101A"/>
        </w:rPr>
        <w:t>manipulate</w:t>
      </w:r>
      <w:r w:rsidRPr="00C374C7">
        <w:rPr>
          <w:rFonts w:eastAsia="Times New Roman" w:cstheme="minorHAnsi"/>
          <w:color w:val="0E101A"/>
        </w:rPr>
        <w:t xml:space="preserve"> prices and reporting/</w:t>
      </w:r>
      <w:proofErr w:type="spellStart"/>
      <w:r w:rsidRPr="00C374C7">
        <w:rPr>
          <w:rFonts w:eastAsia="Times New Roman" w:cstheme="minorHAnsi"/>
          <w:color w:val="0E101A"/>
        </w:rPr>
        <w:t>unreporting</w:t>
      </w:r>
      <w:proofErr w:type="spellEnd"/>
      <w:r w:rsidRPr="00C374C7">
        <w:rPr>
          <w:rFonts w:eastAsia="Times New Roman" w:cstheme="minorHAnsi"/>
          <w:color w:val="0E101A"/>
        </w:rPr>
        <w:t xml:space="preserve"> dynamics. Fishers indicated that traders are a highly organised group, with a fixed set of trucks (around 25-30) that operate in the region. These trucks have different capacities but gather around three types: small (~60 box capacity), medium (100-120 box capacity) and large (~300 box capacity). </w:t>
      </w:r>
    </w:p>
    <w:p w14:paraId="70A444E0" w14:textId="77777777" w:rsidR="00B15E3F" w:rsidRDefault="00B15E3F" w:rsidP="008F50FB">
      <w:pPr>
        <w:spacing w:line="360" w:lineRule="auto"/>
        <w:rPr>
          <w:rFonts w:eastAsia="Times New Roman" w:cstheme="minorHAnsi"/>
          <w:color w:val="0E101A"/>
        </w:rPr>
      </w:pPr>
    </w:p>
    <w:p w14:paraId="68F33CA9" w14:textId="77777777" w:rsidR="00B15E3F" w:rsidRPr="00C374C7" w:rsidRDefault="00B15E3F" w:rsidP="008F50FB">
      <w:pPr>
        <w:spacing w:line="360" w:lineRule="auto"/>
        <w:ind w:firstLine="720"/>
        <w:rPr>
          <w:rFonts w:eastAsia="Times New Roman" w:cstheme="minorHAnsi"/>
          <w:color w:val="0E101A"/>
        </w:rPr>
      </w:pPr>
      <w:r w:rsidRPr="00C374C7">
        <w:rPr>
          <w:rFonts w:eastAsia="Times New Roman" w:cstheme="minorHAnsi"/>
          <w:color w:val="0E101A"/>
        </w:rPr>
        <w:t>Fishers characterised traders as a "mafia" which set prices and prevent negotiation. However, fishers do recognise that traders take the most significant risk by transporting unreported products from the port to the fishing terminal in Santiago.</w:t>
      </w:r>
      <w:r>
        <w:rPr>
          <w:rFonts w:eastAsia="Times New Roman" w:cstheme="minorHAnsi"/>
          <w:color w:val="0E101A"/>
        </w:rPr>
        <w:t xml:space="preserve"> </w:t>
      </w:r>
      <w:r w:rsidRPr="00C374C7">
        <w:rPr>
          <w:rFonts w:eastAsia="Times New Roman" w:cstheme="minorHAnsi"/>
          <w:color w:val="0E101A"/>
        </w:rPr>
        <w:t>Moreover, fishers indicated that traders generally respect the fact that they have to pay more for legal boxes. Finally, they mentioned the need for these traders as a crucial actor to trade both legal and unreported catch. As such, there is a synergic relationship between fishers and traders for the reported/unreported trading</w:t>
      </w:r>
      <w:r>
        <w:rPr>
          <w:rFonts w:eastAsia="Times New Roman" w:cstheme="minorHAnsi"/>
          <w:color w:val="0E101A"/>
        </w:rPr>
        <w:t xml:space="preserve"> market</w:t>
      </w:r>
      <w:r w:rsidRPr="00C374C7">
        <w:rPr>
          <w:rFonts w:eastAsia="Times New Roman" w:cstheme="minorHAnsi"/>
          <w:color w:val="0E101A"/>
        </w:rPr>
        <w:t xml:space="preserve"> to </w:t>
      </w:r>
      <w:r>
        <w:rPr>
          <w:rFonts w:eastAsia="Times New Roman" w:cstheme="minorHAnsi"/>
          <w:color w:val="0E101A"/>
        </w:rPr>
        <w:t>operate</w:t>
      </w:r>
      <w:r w:rsidRPr="00C374C7">
        <w:rPr>
          <w:rFonts w:eastAsia="Times New Roman" w:cstheme="minorHAnsi"/>
          <w:color w:val="0E101A"/>
        </w:rPr>
        <w:t>.</w:t>
      </w:r>
    </w:p>
    <w:p w14:paraId="566AFFD4" w14:textId="77777777" w:rsidR="00B15E3F" w:rsidRPr="00C374C7" w:rsidRDefault="00B15E3F" w:rsidP="008F50FB">
      <w:pPr>
        <w:spacing w:line="360" w:lineRule="auto"/>
        <w:rPr>
          <w:rFonts w:eastAsia="Times New Roman" w:cstheme="minorHAnsi"/>
          <w:color w:val="0E101A"/>
        </w:rPr>
      </w:pPr>
    </w:p>
    <w:p w14:paraId="61E53916" w14:textId="77777777" w:rsidR="00B15E3F" w:rsidRPr="00C374C7" w:rsidRDefault="00B15E3F" w:rsidP="008F50FB">
      <w:pPr>
        <w:spacing w:line="360" w:lineRule="auto"/>
        <w:rPr>
          <w:rFonts w:eastAsia="Times New Roman" w:cstheme="minorHAnsi"/>
          <w:color w:val="0E101A"/>
        </w:rPr>
      </w:pPr>
      <w:r w:rsidRPr="00C374C7">
        <w:rPr>
          <w:rFonts w:eastAsia="Times New Roman" w:cstheme="minorHAnsi"/>
          <w:color w:val="0E101A"/>
        </w:rPr>
        <w:t>           </w:t>
      </w:r>
      <w:r>
        <w:rPr>
          <w:rFonts w:eastAsia="Times New Roman" w:cstheme="minorHAnsi"/>
          <w:color w:val="0E101A"/>
        </w:rPr>
        <w:tab/>
      </w:r>
      <w:r w:rsidRPr="00C374C7">
        <w:rPr>
          <w:rFonts w:eastAsia="Times New Roman" w:cstheme="minorHAnsi"/>
          <w:color w:val="0E101A"/>
        </w:rPr>
        <w:t>Responses were consistent in indicating that the number of traders in the region is fixed, with high barriers to new entries. Because current traders are highly organised and manage prices, fishers indicated that t</w:t>
      </w:r>
      <w:r>
        <w:rPr>
          <w:rFonts w:eastAsia="Times New Roman" w:cstheme="minorHAnsi"/>
          <w:color w:val="0E101A"/>
        </w:rPr>
        <w:t>raders</w:t>
      </w:r>
      <w:r w:rsidRPr="00C374C7">
        <w:rPr>
          <w:rFonts w:eastAsia="Times New Roman" w:cstheme="minorHAnsi"/>
          <w:color w:val="0E101A"/>
        </w:rPr>
        <w:t xml:space="preserve"> could temporarily drive prices down to prevent newcomers. Moreover, fishers indicated that traders have a fluid relationship with enforcement agents so that in case a new trader comes into the region, they coordinate and bribe enforcers to direct their activities to the incoming traders. As such, it is not often for new traders to come into the fishery.</w:t>
      </w:r>
    </w:p>
    <w:p w14:paraId="77AA8B9D" w14:textId="77777777" w:rsidR="00B15E3F" w:rsidRPr="00C374C7" w:rsidRDefault="00B15E3F" w:rsidP="008F50FB">
      <w:pPr>
        <w:spacing w:line="360" w:lineRule="auto"/>
        <w:rPr>
          <w:rFonts w:eastAsia="Times New Roman" w:cstheme="minorHAnsi"/>
          <w:color w:val="0E101A"/>
        </w:rPr>
      </w:pPr>
    </w:p>
    <w:p w14:paraId="735BC164" w14:textId="2226D4C9" w:rsidR="00B15E3F" w:rsidRPr="00C374C7" w:rsidRDefault="00B15E3F" w:rsidP="008F50FB">
      <w:pPr>
        <w:spacing w:line="360" w:lineRule="auto"/>
        <w:ind w:left="720"/>
        <w:rPr>
          <w:rFonts w:eastAsia="Times New Roman" w:cstheme="minorHAnsi"/>
          <w:color w:val="0E101A"/>
        </w:rPr>
      </w:pPr>
      <w:r w:rsidRPr="00C374C7">
        <w:rPr>
          <w:rFonts w:eastAsia="Times New Roman" w:cstheme="minorHAnsi"/>
          <w:color w:val="0E101A"/>
        </w:rPr>
        <w:t>- Trader decision for purchase legal or unreported catch</w:t>
      </w:r>
    </w:p>
    <w:p w14:paraId="22170C92" w14:textId="298F4849" w:rsidR="00B15E3F" w:rsidRPr="00C374C7" w:rsidRDefault="00B15E3F" w:rsidP="008F50FB">
      <w:pPr>
        <w:spacing w:line="360" w:lineRule="auto"/>
        <w:ind w:firstLine="720"/>
        <w:rPr>
          <w:rFonts w:eastAsia="Times New Roman" w:cstheme="minorHAnsi"/>
          <w:color w:val="0E101A"/>
        </w:rPr>
      </w:pPr>
      <w:r w:rsidRPr="00C374C7">
        <w:rPr>
          <w:rFonts w:eastAsia="Times New Roman" w:cstheme="minorHAnsi"/>
          <w:color w:val="0E101A"/>
        </w:rPr>
        <w:t xml:space="preserve">Traders surveys provided essential insights into their decision </w:t>
      </w:r>
      <w:r>
        <w:rPr>
          <w:rFonts w:eastAsia="Times New Roman" w:cstheme="minorHAnsi"/>
          <w:color w:val="0E101A"/>
        </w:rPr>
        <w:t xml:space="preserve">to </w:t>
      </w:r>
      <w:r w:rsidRPr="00C374C7">
        <w:rPr>
          <w:rFonts w:eastAsia="Times New Roman" w:cstheme="minorHAnsi"/>
          <w:color w:val="0E101A"/>
        </w:rPr>
        <w:t xml:space="preserve">purchase legal or unreported catch. Traders indicated that the amount legally traded works as an operation "licence" in the sense that they need to transport some amount of legal common hake to justify their operation for taxes and </w:t>
      </w:r>
      <w:r w:rsidR="001F4ACE">
        <w:rPr>
          <w:rFonts w:eastAsia="Times New Roman" w:cstheme="minorHAnsi"/>
          <w:color w:val="0E101A"/>
        </w:rPr>
        <w:t>regulation</w:t>
      </w:r>
      <w:r w:rsidRPr="00C374C7">
        <w:rPr>
          <w:rFonts w:eastAsia="Times New Roman" w:cstheme="minorHAnsi"/>
          <w:color w:val="0E101A"/>
        </w:rPr>
        <w:t xml:space="preserve"> purposes. Further, they do need to show "some" legal </w:t>
      </w:r>
      <w:r>
        <w:rPr>
          <w:rFonts w:eastAsia="Times New Roman" w:cstheme="minorHAnsi"/>
          <w:color w:val="0E101A"/>
        </w:rPr>
        <w:t>permits</w:t>
      </w:r>
      <w:r w:rsidRPr="00C374C7">
        <w:rPr>
          <w:rFonts w:eastAsia="Times New Roman" w:cstheme="minorHAnsi"/>
          <w:color w:val="0E101A"/>
        </w:rPr>
        <w:t xml:space="preserve"> to get into the fishing terminal in Santiago. As such</w:t>
      </w:r>
      <w:r>
        <w:rPr>
          <w:rFonts w:eastAsia="Times New Roman" w:cstheme="minorHAnsi"/>
          <w:color w:val="0E101A"/>
        </w:rPr>
        <w:t>,</w:t>
      </w:r>
      <w:r w:rsidRPr="00C374C7">
        <w:rPr>
          <w:rFonts w:eastAsia="Times New Roman" w:cstheme="minorHAnsi"/>
          <w:color w:val="0E101A"/>
        </w:rPr>
        <w:t xml:space="preserve"> they always </w:t>
      </w:r>
      <w:r>
        <w:rPr>
          <w:rFonts w:eastAsia="Times New Roman" w:cstheme="minorHAnsi"/>
          <w:color w:val="0E101A"/>
        </w:rPr>
        <w:t>trade</w:t>
      </w:r>
      <w:r w:rsidRPr="00C374C7">
        <w:rPr>
          <w:rFonts w:eastAsia="Times New Roman" w:cstheme="minorHAnsi"/>
          <w:color w:val="0E101A"/>
        </w:rPr>
        <w:t xml:space="preserve"> some legal boxes, but then depending on landings they carry more or less unreported catch. This does vary, however, when there is more enforcement or when prices are higher. From </w:t>
      </w:r>
      <w:r w:rsidRPr="00C374C7">
        <w:rPr>
          <w:rFonts w:eastAsia="Times New Roman" w:cstheme="minorHAnsi"/>
          <w:color w:val="0E101A"/>
        </w:rPr>
        <w:lastRenderedPageBreak/>
        <w:t>the surveys, we could not assess ranges of increases in trading of reported catch due to enforcement or price raises. Fishers also indicated that traders communicate to share information on when SERNAPESCA (enforcement agency) is operating, and during those periods, they t</w:t>
      </w:r>
      <w:r>
        <w:rPr>
          <w:rFonts w:eastAsia="Times New Roman" w:cstheme="minorHAnsi"/>
          <w:color w:val="0E101A"/>
        </w:rPr>
        <w:t>rade</w:t>
      </w:r>
      <w:r w:rsidRPr="00C374C7">
        <w:rPr>
          <w:rFonts w:eastAsia="Times New Roman" w:cstheme="minorHAnsi"/>
          <w:color w:val="0E101A"/>
        </w:rPr>
        <w:t xml:space="preserve"> more legal common hake than usual.</w:t>
      </w:r>
    </w:p>
    <w:p w14:paraId="6949FE99" w14:textId="77777777" w:rsidR="00B15E3F" w:rsidRPr="00C374C7" w:rsidRDefault="00B15E3F" w:rsidP="008F50FB">
      <w:pPr>
        <w:spacing w:line="360" w:lineRule="auto"/>
        <w:rPr>
          <w:rFonts w:eastAsia="Times New Roman" w:cstheme="minorHAnsi"/>
          <w:color w:val="0E101A"/>
        </w:rPr>
      </w:pPr>
    </w:p>
    <w:p w14:paraId="19A59BF6" w14:textId="4BDC1473" w:rsidR="00B15E3F" w:rsidRPr="00C374C7" w:rsidRDefault="00B15E3F" w:rsidP="008F50FB">
      <w:pPr>
        <w:spacing w:line="360" w:lineRule="auto"/>
        <w:ind w:firstLine="720"/>
        <w:rPr>
          <w:rFonts w:eastAsia="Times New Roman" w:cstheme="minorHAnsi"/>
          <w:color w:val="0E101A"/>
        </w:rPr>
      </w:pPr>
      <w:r w:rsidRPr="00C374C7">
        <w:rPr>
          <w:rFonts w:eastAsia="Times New Roman" w:cstheme="minorHAnsi"/>
          <w:color w:val="0E101A"/>
        </w:rPr>
        <w:t>- Fishing terminal and open-air markets operation</w:t>
      </w:r>
    </w:p>
    <w:p w14:paraId="015CF44D" w14:textId="7009D7A8" w:rsidR="00B15E3F" w:rsidRDefault="00B15E3F" w:rsidP="008F50FB">
      <w:pPr>
        <w:spacing w:line="360" w:lineRule="auto"/>
        <w:ind w:firstLine="720"/>
        <w:rPr>
          <w:rFonts w:eastAsia="Times New Roman" w:cstheme="minorHAnsi"/>
          <w:color w:val="0E101A"/>
        </w:rPr>
      </w:pPr>
      <w:r w:rsidRPr="00C374C7">
        <w:rPr>
          <w:rFonts w:eastAsia="Times New Roman" w:cstheme="minorHAnsi"/>
          <w:color w:val="0E101A"/>
        </w:rPr>
        <w:t xml:space="preserve">Market </w:t>
      </w:r>
      <w:r w:rsidR="00423F16">
        <w:rPr>
          <w:rFonts w:eastAsia="Times New Roman" w:cstheme="minorHAnsi"/>
          <w:color w:val="0E101A"/>
        </w:rPr>
        <w:t>o</w:t>
      </w:r>
      <w:r w:rsidRPr="00C374C7">
        <w:rPr>
          <w:rFonts w:eastAsia="Times New Roman" w:cstheme="minorHAnsi"/>
          <w:color w:val="0E101A"/>
        </w:rPr>
        <w:t>perators indicated that there is a small market for legal boxes at the fishing terminal, for some restaurants or risk-averse consumers that prefer fully licensed products. As such, there is product differentiation</w:t>
      </w:r>
      <w:r>
        <w:rPr>
          <w:rFonts w:eastAsia="Times New Roman" w:cstheme="minorHAnsi"/>
          <w:color w:val="0E101A"/>
        </w:rPr>
        <w:t xml:space="preserve"> at the market</w:t>
      </w:r>
      <w:r w:rsidRPr="00C374C7">
        <w:rPr>
          <w:rFonts w:eastAsia="Times New Roman" w:cstheme="minorHAnsi"/>
          <w:color w:val="0E101A"/>
        </w:rPr>
        <w:t>, because of a "price premium" that is paid to traders for legal products. We could not, from the survey, determine the "price premium" value at the terminal for legal boxes. Responses on this question were too spread or unclear to determine a credible range of values. The product in itself cannot be distinguished, but for instance, a trader could sell a certain number of boxes and a lower number of permits. No particular box can be differentiated, but the buyer will pay a price premium for those permits to the trader. Traders as well indicated the existence of a differentiated demand for legal products at the fishing terminal, although it was small and filled rapidly. Similar to traders, open-air markets operators needed a constant amount of legal (permitted) boxes to justify their operations, and therefore are willing to pay more for</w:t>
      </w:r>
      <w:r>
        <w:rPr>
          <w:rFonts w:eastAsia="Times New Roman" w:cstheme="minorHAnsi"/>
          <w:color w:val="0E101A"/>
        </w:rPr>
        <w:t xml:space="preserve"> some</w:t>
      </w:r>
      <w:r w:rsidRPr="00C374C7">
        <w:rPr>
          <w:rFonts w:eastAsia="Times New Roman" w:cstheme="minorHAnsi"/>
          <w:color w:val="0E101A"/>
        </w:rPr>
        <w:t xml:space="preserve"> legal boxes.</w:t>
      </w:r>
    </w:p>
    <w:p w14:paraId="6614EFD5" w14:textId="7A144F21" w:rsidR="00B15E3F" w:rsidRDefault="00B15E3F" w:rsidP="008F50FB">
      <w:pPr>
        <w:spacing w:line="360" w:lineRule="auto"/>
        <w:rPr>
          <w:rFonts w:eastAsia="Times New Roman" w:cstheme="minorHAnsi"/>
          <w:color w:val="0E101A"/>
        </w:rPr>
      </w:pPr>
    </w:p>
    <w:p w14:paraId="782CAA95" w14:textId="0559C612" w:rsidR="003165DC" w:rsidRPr="003165DC" w:rsidRDefault="003165DC" w:rsidP="008F50FB">
      <w:pPr>
        <w:pStyle w:val="ListParagraph"/>
        <w:numPr>
          <w:ilvl w:val="0"/>
          <w:numId w:val="7"/>
        </w:numPr>
        <w:spacing w:line="360" w:lineRule="auto"/>
        <w:rPr>
          <w:rFonts w:eastAsia="Times New Roman" w:cstheme="minorHAnsi"/>
          <w:color w:val="0E101A"/>
        </w:rPr>
      </w:pPr>
      <w:r>
        <w:rPr>
          <w:rFonts w:eastAsia="Times New Roman" w:cstheme="minorHAnsi"/>
          <w:color w:val="0E101A"/>
        </w:rPr>
        <w:t>Stages</w:t>
      </w:r>
    </w:p>
    <w:p w14:paraId="72D4078B" w14:textId="09EDF4BD" w:rsidR="003165DC" w:rsidRPr="00C374C7" w:rsidRDefault="00E22A04" w:rsidP="008F50FB">
      <w:pPr>
        <w:spacing w:line="360" w:lineRule="auto"/>
        <w:ind w:firstLine="720"/>
        <w:rPr>
          <w:rFonts w:eastAsia="Times New Roman" w:cstheme="minorHAnsi"/>
          <w:color w:val="0E101A"/>
        </w:rPr>
      </w:pPr>
      <w:r>
        <w:rPr>
          <w:rFonts w:eastAsia="Times New Roman" w:cstheme="minorHAnsi"/>
          <w:color w:val="0E101A"/>
        </w:rPr>
        <w:t>Results from the</w:t>
      </w:r>
      <w:r w:rsidR="000450C7">
        <w:rPr>
          <w:rFonts w:eastAsia="Times New Roman" w:cstheme="minorHAnsi"/>
          <w:color w:val="0E101A"/>
        </w:rPr>
        <w:t xml:space="preserve"> surveys and enforcement analysis indicated </w:t>
      </w:r>
      <w:r w:rsidR="003165DC" w:rsidRPr="00C374C7">
        <w:rPr>
          <w:rFonts w:eastAsia="Times New Roman" w:cstheme="minorHAnsi"/>
          <w:color w:val="0E101A"/>
        </w:rPr>
        <w:t>that trading dynamics in this fishery can be categorised in four stages within a year. These stages are when peaks in official landings data are found, which reflect increases in reporting rates. These stages are:</w:t>
      </w:r>
    </w:p>
    <w:p w14:paraId="4B325E80" w14:textId="77777777" w:rsidR="003165DC" w:rsidRPr="00C374C7" w:rsidRDefault="003165DC" w:rsidP="008F50FB">
      <w:pPr>
        <w:numPr>
          <w:ilvl w:val="0"/>
          <w:numId w:val="6"/>
        </w:numPr>
        <w:spacing w:line="360" w:lineRule="auto"/>
        <w:rPr>
          <w:rFonts w:eastAsia="Times New Roman" w:cstheme="minorHAnsi"/>
          <w:color w:val="0E101A"/>
        </w:rPr>
      </w:pPr>
      <w:r w:rsidRPr="00C374C7">
        <w:rPr>
          <w:rFonts w:eastAsia="Times New Roman" w:cstheme="minorHAnsi"/>
          <w:i/>
          <w:iCs/>
          <w:color w:val="0E101A"/>
        </w:rPr>
        <w:t>Eastern month</w:t>
      </w:r>
      <w:r w:rsidRPr="00C374C7">
        <w:rPr>
          <w:rFonts w:eastAsia="Times New Roman" w:cstheme="minorHAnsi"/>
          <w:color w:val="0E101A"/>
        </w:rPr>
        <w:t>: due to an increase in demand in preparation for eastern, price elasticity diminishe</w:t>
      </w:r>
      <w:r>
        <w:rPr>
          <w:rFonts w:eastAsia="Times New Roman" w:cstheme="minorHAnsi"/>
          <w:color w:val="0E101A"/>
        </w:rPr>
        <w:t>s</w:t>
      </w:r>
      <w:r w:rsidRPr="00C374C7">
        <w:rPr>
          <w:rFonts w:eastAsia="Times New Roman" w:cstheme="minorHAnsi"/>
          <w:color w:val="0E101A"/>
        </w:rPr>
        <w:t>. Moreover, enforcement increases during this period, which lasts for a month. Price and enforcement increases, then, increase reporting rates.</w:t>
      </w:r>
    </w:p>
    <w:p w14:paraId="666029D7" w14:textId="77777777" w:rsidR="003165DC" w:rsidRPr="00C374C7" w:rsidRDefault="003165DC" w:rsidP="008F50FB">
      <w:pPr>
        <w:numPr>
          <w:ilvl w:val="0"/>
          <w:numId w:val="6"/>
        </w:numPr>
        <w:spacing w:line="360" w:lineRule="auto"/>
        <w:rPr>
          <w:rFonts w:eastAsia="Times New Roman" w:cstheme="minorHAnsi"/>
          <w:color w:val="0E101A"/>
        </w:rPr>
      </w:pPr>
      <w:r w:rsidRPr="00C374C7">
        <w:rPr>
          <w:rFonts w:eastAsia="Times New Roman" w:cstheme="minorHAnsi"/>
          <w:i/>
          <w:iCs/>
          <w:color w:val="0E101A"/>
        </w:rPr>
        <w:t>Pre/post ban</w:t>
      </w:r>
      <w:r w:rsidRPr="00C374C7">
        <w:rPr>
          <w:rFonts w:eastAsia="Times New Roman" w:cstheme="minorHAnsi"/>
          <w:color w:val="0E101A"/>
        </w:rPr>
        <w:t>: Increases in enforcement activity prior (August) and past (October) the September ban result in higher reporting rates</w:t>
      </w:r>
    </w:p>
    <w:p w14:paraId="1232190A" w14:textId="77777777" w:rsidR="003165DC" w:rsidRPr="00C374C7" w:rsidRDefault="003165DC" w:rsidP="008F50FB">
      <w:pPr>
        <w:numPr>
          <w:ilvl w:val="0"/>
          <w:numId w:val="6"/>
        </w:numPr>
        <w:spacing w:line="360" w:lineRule="auto"/>
        <w:rPr>
          <w:rFonts w:eastAsia="Times New Roman" w:cstheme="minorHAnsi"/>
          <w:color w:val="0E101A"/>
        </w:rPr>
      </w:pPr>
      <w:r w:rsidRPr="00C374C7">
        <w:rPr>
          <w:rFonts w:eastAsia="Times New Roman" w:cstheme="minorHAnsi"/>
          <w:i/>
          <w:iCs/>
          <w:color w:val="0E101A"/>
        </w:rPr>
        <w:lastRenderedPageBreak/>
        <w:t>End of year</w:t>
      </w:r>
      <w:r w:rsidRPr="00C374C7">
        <w:rPr>
          <w:rFonts w:eastAsia="Times New Roman" w:cstheme="minorHAnsi"/>
          <w:color w:val="0E101A"/>
        </w:rPr>
        <w:t>: because the quota is not transferable across years, fishers who still have quota permits by December, rush to sell it, lowering the permit value, increasing reporting rates.</w:t>
      </w:r>
    </w:p>
    <w:p w14:paraId="26F758BF" w14:textId="77777777" w:rsidR="003165DC" w:rsidRPr="00C374C7" w:rsidRDefault="003165DC" w:rsidP="008F50FB">
      <w:pPr>
        <w:numPr>
          <w:ilvl w:val="0"/>
          <w:numId w:val="6"/>
        </w:numPr>
        <w:spacing w:line="360" w:lineRule="auto"/>
        <w:rPr>
          <w:rFonts w:eastAsia="Times New Roman" w:cstheme="minorHAnsi"/>
          <w:color w:val="0E101A"/>
        </w:rPr>
      </w:pPr>
      <w:r w:rsidRPr="00C374C7">
        <w:rPr>
          <w:rFonts w:eastAsia="Times New Roman" w:cstheme="minorHAnsi"/>
          <w:i/>
          <w:iCs/>
          <w:color w:val="0E101A"/>
        </w:rPr>
        <w:t>Primary stage</w:t>
      </w:r>
      <w:r w:rsidRPr="00C374C7">
        <w:rPr>
          <w:rFonts w:eastAsia="Times New Roman" w:cstheme="minorHAnsi"/>
          <w:color w:val="0E101A"/>
        </w:rPr>
        <w:t>: This is how the fishery and trade operate in the times outside of the three previous stages.</w:t>
      </w:r>
    </w:p>
    <w:p w14:paraId="5C8DE703" w14:textId="77777777" w:rsidR="003165DC" w:rsidRDefault="003165DC" w:rsidP="008F50FB">
      <w:pPr>
        <w:spacing w:line="360" w:lineRule="auto"/>
        <w:rPr>
          <w:rFonts w:eastAsia="Times New Roman" w:cstheme="minorHAnsi"/>
          <w:color w:val="0E101A"/>
        </w:rPr>
      </w:pPr>
    </w:p>
    <w:p w14:paraId="4C41B19F" w14:textId="54E2A4A2" w:rsidR="00B15E3F" w:rsidRDefault="00B15E3F" w:rsidP="008F50FB">
      <w:pPr>
        <w:spacing w:line="360" w:lineRule="auto"/>
        <w:rPr>
          <w:rFonts w:eastAsia="Times New Roman" w:cstheme="minorHAnsi"/>
          <w:color w:val="0E101A"/>
        </w:rPr>
      </w:pPr>
    </w:p>
    <w:p w14:paraId="15D2B5E4" w14:textId="28BA801B" w:rsidR="00780DC3" w:rsidRPr="00780DC3" w:rsidRDefault="00780DC3" w:rsidP="008F50FB">
      <w:pPr>
        <w:pStyle w:val="ListParagraph"/>
        <w:numPr>
          <w:ilvl w:val="0"/>
          <w:numId w:val="5"/>
        </w:numPr>
        <w:spacing w:line="360" w:lineRule="auto"/>
        <w:rPr>
          <w:b/>
        </w:rPr>
      </w:pPr>
      <w:r w:rsidRPr="00780DC3">
        <w:rPr>
          <w:b/>
        </w:rPr>
        <w:t>Framework manuscript</w:t>
      </w:r>
    </w:p>
    <w:p w14:paraId="7DA4CDEE" w14:textId="77777777" w:rsidR="008F50FB" w:rsidRDefault="008F50FB" w:rsidP="008F50FB">
      <w:pPr>
        <w:spacing w:line="360" w:lineRule="auto"/>
        <w:ind w:left="720"/>
        <w:rPr>
          <w:rFonts w:eastAsia="Times New Roman" w:cstheme="minorHAnsi"/>
          <w:color w:val="0E101A"/>
        </w:rPr>
      </w:pPr>
    </w:p>
    <w:p w14:paraId="08541FB5" w14:textId="3DE7F3C1" w:rsidR="00780DC3" w:rsidRPr="00780DC3" w:rsidRDefault="00780DC3" w:rsidP="008F50FB">
      <w:pPr>
        <w:spacing w:line="360" w:lineRule="auto"/>
        <w:ind w:firstLine="720"/>
        <w:rPr>
          <w:rFonts w:eastAsia="Times New Roman" w:cstheme="minorHAnsi"/>
          <w:color w:val="0E101A"/>
        </w:rPr>
      </w:pPr>
      <w:r>
        <w:rPr>
          <w:rFonts w:eastAsia="Times New Roman" w:cstheme="minorHAnsi"/>
          <w:color w:val="0E101A"/>
        </w:rPr>
        <w:t>A detailed des</w:t>
      </w:r>
      <w:r w:rsidR="008F50FB">
        <w:rPr>
          <w:rFonts w:eastAsia="Times New Roman" w:cstheme="minorHAnsi"/>
          <w:color w:val="0E101A"/>
        </w:rPr>
        <w:t xml:space="preserve">cription of the system is provided in the manuscript </w:t>
      </w:r>
      <w:hyperlink r:id="rId10" w:history="1">
        <w:r w:rsidR="008F50FB" w:rsidRPr="00775AA2">
          <w:rPr>
            <w:rStyle w:val="Hyperlink"/>
            <w:rFonts w:eastAsia="Times New Roman" w:cstheme="minorHAnsi"/>
          </w:rPr>
          <w:t>here</w:t>
        </w:r>
      </w:hyperlink>
      <w:r w:rsidR="008F50FB">
        <w:rPr>
          <w:rFonts w:eastAsia="Times New Roman" w:cstheme="minorHAnsi"/>
          <w:color w:val="0E101A"/>
        </w:rPr>
        <w:t xml:space="preserve">, and in case you need the supplementary material they are </w:t>
      </w:r>
      <w:hyperlink r:id="rId11" w:history="1">
        <w:r w:rsidR="008F50FB" w:rsidRPr="00775AA2">
          <w:rPr>
            <w:rStyle w:val="Hyperlink"/>
            <w:rFonts w:eastAsia="Times New Roman" w:cstheme="minorHAnsi"/>
          </w:rPr>
          <w:t>here</w:t>
        </w:r>
      </w:hyperlink>
      <w:r w:rsidR="00775AA2">
        <w:rPr>
          <w:rFonts w:eastAsia="Times New Roman" w:cstheme="minorHAnsi"/>
          <w:color w:val="0E101A"/>
        </w:rPr>
        <w:t>.</w:t>
      </w:r>
    </w:p>
    <w:p w14:paraId="0F47EDA4" w14:textId="77777777" w:rsidR="00B15E3F" w:rsidRDefault="00B15E3F" w:rsidP="008F50FB">
      <w:pPr>
        <w:spacing w:line="360" w:lineRule="auto"/>
        <w:rPr>
          <w:rFonts w:eastAsia="Times New Roman" w:cstheme="minorHAnsi"/>
          <w:color w:val="0E101A"/>
        </w:rPr>
      </w:pPr>
    </w:p>
    <w:p w14:paraId="6EAC72B3" w14:textId="77777777" w:rsidR="00B15E3F" w:rsidRDefault="00B15E3F" w:rsidP="008F50FB">
      <w:pPr>
        <w:spacing w:line="360" w:lineRule="auto"/>
        <w:rPr>
          <w:rFonts w:eastAsia="Times New Roman" w:cstheme="minorHAnsi"/>
          <w:color w:val="0E101A"/>
        </w:rPr>
      </w:pPr>
    </w:p>
    <w:p w14:paraId="68B93D87" w14:textId="77777777" w:rsidR="00B15E3F" w:rsidRDefault="00B15E3F" w:rsidP="008F50FB">
      <w:pPr>
        <w:spacing w:line="360" w:lineRule="auto"/>
        <w:rPr>
          <w:rFonts w:eastAsia="Times New Roman" w:cstheme="minorHAnsi"/>
          <w:color w:val="0E101A"/>
        </w:rPr>
      </w:pPr>
      <w:bookmarkStart w:id="0" w:name="_GoBack"/>
      <w:bookmarkEnd w:id="0"/>
    </w:p>
    <w:p w14:paraId="257A51AA" w14:textId="77777777" w:rsidR="00B15E3F" w:rsidRDefault="00B15E3F" w:rsidP="008F50FB">
      <w:pPr>
        <w:spacing w:line="360" w:lineRule="auto"/>
        <w:rPr>
          <w:rFonts w:eastAsia="Times New Roman" w:cstheme="minorHAnsi"/>
          <w:color w:val="0E101A"/>
        </w:rPr>
      </w:pPr>
    </w:p>
    <w:p w14:paraId="609BB6A1" w14:textId="77777777" w:rsidR="00B15E3F" w:rsidRDefault="00B15E3F" w:rsidP="008F50FB">
      <w:pPr>
        <w:spacing w:line="360" w:lineRule="auto"/>
        <w:rPr>
          <w:rFonts w:eastAsia="Times New Roman" w:cstheme="minorHAnsi"/>
          <w:color w:val="0E101A"/>
        </w:rPr>
      </w:pPr>
    </w:p>
    <w:p w14:paraId="50BA3074" w14:textId="77777777" w:rsidR="00B15E3F" w:rsidRDefault="00B15E3F" w:rsidP="008F50FB">
      <w:pPr>
        <w:spacing w:line="360" w:lineRule="auto"/>
        <w:rPr>
          <w:rFonts w:eastAsia="Times New Roman" w:cstheme="minorHAnsi"/>
          <w:color w:val="0E101A"/>
        </w:rPr>
      </w:pPr>
    </w:p>
    <w:p w14:paraId="11E1B68C" w14:textId="77777777" w:rsidR="00B15E3F" w:rsidRDefault="00B15E3F" w:rsidP="008F50FB">
      <w:pPr>
        <w:spacing w:line="360" w:lineRule="auto"/>
        <w:rPr>
          <w:rFonts w:eastAsia="Times New Roman" w:cstheme="minorHAnsi"/>
          <w:color w:val="0E101A"/>
        </w:rPr>
      </w:pPr>
    </w:p>
    <w:p w14:paraId="1B24DBA0" w14:textId="77777777" w:rsidR="00B15E3F" w:rsidRDefault="00B15E3F" w:rsidP="008F50FB">
      <w:pPr>
        <w:spacing w:line="360" w:lineRule="auto"/>
        <w:rPr>
          <w:rFonts w:eastAsia="Times New Roman" w:cstheme="minorHAnsi"/>
          <w:color w:val="0E101A"/>
        </w:rPr>
      </w:pPr>
    </w:p>
    <w:p w14:paraId="700A3687" w14:textId="77777777" w:rsidR="00B15E3F" w:rsidRDefault="00B15E3F" w:rsidP="008F50FB">
      <w:pPr>
        <w:spacing w:line="360" w:lineRule="auto"/>
        <w:rPr>
          <w:rFonts w:eastAsia="Times New Roman" w:cstheme="minorHAnsi"/>
          <w:color w:val="0E101A"/>
        </w:rPr>
      </w:pPr>
    </w:p>
    <w:p w14:paraId="00F44C5C" w14:textId="77777777" w:rsidR="00B15E3F" w:rsidRDefault="00B15E3F" w:rsidP="008F50FB">
      <w:pPr>
        <w:spacing w:line="360" w:lineRule="auto"/>
        <w:rPr>
          <w:rFonts w:eastAsia="Times New Roman" w:cstheme="minorHAnsi"/>
          <w:color w:val="0E101A"/>
        </w:rPr>
      </w:pPr>
    </w:p>
    <w:p w14:paraId="37221E25" w14:textId="77777777" w:rsidR="00B15E3F" w:rsidRDefault="00B15E3F" w:rsidP="008F50FB">
      <w:pPr>
        <w:spacing w:line="360" w:lineRule="auto"/>
        <w:rPr>
          <w:rFonts w:eastAsia="Times New Roman" w:cstheme="minorHAnsi"/>
          <w:color w:val="0E101A"/>
        </w:rPr>
      </w:pPr>
    </w:p>
    <w:p w14:paraId="32EB382D" w14:textId="77777777" w:rsidR="00B15E3F" w:rsidRDefault="00B15E3F" w:rsidP="008F50FB">
      <w:pPr>
        <w:spacing w:line="360" w:lineRule="auto"/>
        <w:rPr>
          <w:rFonts w:eastAsia="Times New Roman" w:cstheme="minorHAnsi"/>
          <w:color w:val="0E101A"/>
        </w:rPr>
      </w:pPr>
    </w:p>
    <w:p w14:paraId="04D6E746" w14:textId="77777777" w:rsidR="00B15E3F" w:rsidRDefault="00B15E3F" w:rsidP="008F50FB">
      <w:pPr>
        <w:spacing w:line="360" w:lineRule="auto"/>
        <w:rPr>
          <w:rFonts w:eastAsia="Times New Roman" w:cstheme="minorHAnsi"/>
          <w:color w:val="0E101A"/>
        </w:rPr>
      </w:pPr>
    </w:p>
    <w:p w14:paraId="43732280" w14:textId="77777777" w:rsidR="00B15E3F" w:rsidRDefault="00B15E3F" w:rsidP="008F50FB">
      <w:pPr>
        <w:spacing w:line="360" w:lineRule="auto"/>
        <w:rPr>
          <w:rFonts w:eastAsia="Times New Roman" w:cstheme="minorHAnsi"/>
          <w:color w:val="0E101A"/>
        </w:rPr>
      </w:pPr>
    </w:p>
    <w:p w14:paraId="19095EF1" w14:textId="77777777" w:rsidR="00B15E3F" w:rsidRDefault="00B15E3F" w:rsidP="008F50FB">
      <w:pPr>
        <w:spacing w:line="360" w:lineRule="auto"/>
        <w:rPr>
          <w:rFonts w:eastAsia="Times New Roman" w:cstheme="minorHAnsi"/>
          <w:color w:val="0E101A"/>
        </w:rPr>
      </w:pPr>
    </w:p>
    <w:p w14:paraId="178C100E" w14:textId="77777777" w:rsidR="00B15E3F" w:rsidRDefault="00B15E3F" w:rsidP="008F50FB">
      <w:pPr>
        <w:spacing w:line="360" w:lineRule="auto"/>
        <w:rPr>
          <w:rFonts w:eastAsia="Times New Roman" w:cstheme="minorHAnsi"/>
          <w:color w:val="0E101A"/>
        </w:rPr>
      </w:pPr>
    </w:p>
    <w:p w14:paraId="7350B985" w14:textId="77777777" w:rsidR="00B15E3F" w:rsidRDefault="00B15E3F" w:rsidP="008F50FB">
      <w:pPr>
        <w:spacing w:line="360" w:lineRule="auto"/>
        <w:rPr>
          <w:rFonts w:eastAsia="Times New Roman" w:cstheme="minorHAnsi"/>
          <w:b/>
          <w:bCs/>
          <w:color w:val="0E101A"/>
        </w:rPr>
      </w:pPr>
    </w:p>
    <w:p w14:paraId="5D2DD60E" w14:textId="77777777" w:rsidR="00B15E3F" w:rsidRPr="00DB33E5" w:rsidRDefault="00B15E3F" w:rsidP="008F50FB">
      <w:pPr>
        <w:pStyle w:val="ListParagraph"/>
        <w:spacing w:line="360" w:lineRule="auto"/>
        <w:rPr>
          <w:rFonts w:eastAsia="Times New Roman" w:cstheme="minorHAnsi"/>
          <w:color w:val="0E101A"/>
        </w:rPr>
      </w:pPr>
    </w:p>
    <w:p w14:paraId="681890BD" w14:textId="77777777" w:rsidR="00B54D71" w:rsidRDefault="00B54D71" w:rsidP="008F50FB">
      <w:pPr>
        <w:spacing w:line="360" w:lineRule="auto"/>
      </w:pPr>
    </w:p>
    <w:sectPr w:rsidR="00B54D71" w:rsidSect="00E62D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6E58"/>
    <w:multiLevelType w:val="multilevel"/>
    <w:tmpl w:val="0CECFAF8"/>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44FC1"/>
    <w:multiLevelType w:val="hybridMultilevel"/>
    <w:tmpl w:val="036CBC6A"/>
    <w:lvl w:ilvl="0" w:tplc="FA60FC50">
      <w:start w:val="1"/>
      <w:numFmt w:val="lowerLetter"/>
      <w:lvlText w:val="%1)"/>
      <w:lvlJc w:val="left"/>
      <w:pPr>
        <w:ind w:left="644" w:hanging="360"/>
      </w:pPr>
      <w:rPr>
        <w:rFonts w:hint="default"/>
        <w:sz w:val="32"/>
      </w:rPr>
    </w:lvl>
    <w:lvl w:ilvl="1" w:tplc="0409001B">
      <w:start w:val="1"/>
      <w:numFmt w:val="lowerRoman"/>
      <w:lvlText w:val="%2."/>
      <w:lvlJc w:val="right"/>
      <w:pPr>
        <w:ind w:left="1069"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0770EF"/>
    <w:multiLevelType w:val="hybridMultilevel"/>
    <w:tmpl w:val="156898B0"/>
    <w:lvl w:ilvl="0" w:tplc="70C49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038B3"/>
    <w:multiLevelType w:val="hybridMultilevel"/>
    <w:tmpl w:val="C4AC6F86"/>
    <w:lvl w:ilvl="0" w:tplc="A2FC46D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C06FE"/>
    <w:multiLevelType w:val="hybridMultilevel"/>
    <w:tmpl w:val="861C6BD0"/>
    <w:lvl w:ilvl="0" w:tplc="559A7C3C">
      <w:start w:val="6"/>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86279"/>
    <w:multiLevelType w:val="hybridMultilevel"/>
    <w:tmpl w:val="3244CB00"/>
    <w:lvl w:ilvl="0" w:tplc="0409001B">
      <w:start w:val="1"/>
      <w:numFmt w:val="lowerRoman"/>
      <w:lvlText w:val="%1."/>
      <w:lvlJc w:val="righ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77D861D6"/>
    <w:multiLevelType w:val="hybridMultilevel"/>
    <w:tmpl w:val="29C26C18"/>
    <w:lvl w:ilvl="0" w:tplc="CB040E76">
      <w:start w:val="1"/>
      <w:numFmt w:val="lowerLetter"/>
      <w:lvlText w:val="%1)"/>
      <w:lvlJc w:val="left"/>
      <w:pPr>
        <w:ind w:left="720" w:hanging="360"/>
      </w:pPr>
      <w:rPr>
        <w:rFonts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71"/>
    <w:rsid w:val="000320F7"/>
    <w:rsid w:val="00035351"/>
    <w:rsid w:val="000450C7"/>
    <w:rsid w:val="00047335"/>
    <w:rsid w:val="0005018E"/>
    <w:rsid w:val="00086B40"/>
    <w:rsid w:val="0009045A"/>
    <w:rsid w:val="00094A3E"/>
    <w:rsid w:val="000D61C2"/>
    <w:rsid w:val="001140E1"/>
    <w:rsid w:val="00124BE5"/>
    <w:rsid w:val="00133D1A"/>
    <w:rsid w:val="00134213"/>
    <w:rsid w:val="00192F8C"/>
    <w:rsid w:val="00194A6A"/>
    <w:rsid w:val="001F4ACE"/>
    <w:rsid w:val="00236AB8"/>
    <w:rsid w:val="00282847"/>
    <w:rsid w:val="002B2A50"/>
    <w:rsid w:val="002F501E"/>
    <w:rsid w:val="003165DC"/>
    <w:rsid w:val="00322F14"/>
    <w:rsid w:val="00324C19"/>
    <w:rsid w:val="003648A8"/>
    <w:rsid w:val="00367231"/>
    <w:rsid w:val="003A1E62"/>
    <w:rsid w:val="003A716B"/>
    <w:rsid w:val="003C7378"/>
    <w:rsid w:val="003D2DC1"/>
    <w:rsid w:val="003E712C"/>
    <w:rsid w:val="00423F16"/>
    <w:rsid w:val="00444098"/>
    <w:rsid w:val="004601F4"/>
    <w:rsid w:val="00493A4C"/>
    <w:rsid w:val="004F4C30"/>
    <w:rsid w:val="00522656"/>
    <w:rsid w:val="00523ACC"/>
    <w:rsid w:val="00547AD0"/>
    <w:rsid w:val="005A4AB4"/>
    <w:rsid w:val="005A5B4C"/>
    <w:rsid w:val="005B0B3D"/>
    <w:rsid w:val="006429D0"/>
    <w:rsid w:val="00644A13"/>
    <w:rsid w:val="0068075F"/>
    <w:rsid w:val="0068638E"/>
    <w:rsid w:val="00687CFF"/>
    <w:rsid w:val="006A30D3"/>
    <w:rsid w:val="0073626B"/>
    <w:rsid w:val="00775AA2"/>
    <w:rsid w:val="00780DC3"/>
    <w:rsid w:val="007A749F"/>
    <w:rsid w:val="007E6EDE"/>
    <w:rsid w:val="00807A7D"/>
    <w:rsid w:val="0084076B"/>
    <w:rsid w:val="008412A1"/>
    <w:rsid w:val="0085737B"/>
    <w:rsid w:val="008822C4"/>
    <w:rsid w:val="00883677"/>
    <w:rsid w:val="008877B1"/>
    <w:rsid w:val="00894CEA"/>
    <w:rsid w:val="008B564F"/>
    <w:rsid w:val="008F50FB"/>
    <w:rsid w:val="00930570"/>
    <w:rsid w:val="00935D13"/>
    <w:rsid w:val="00987EAA"/>
    <w:rsid w:val="009930CA"/>
    <w:rsid w:val="009B2DF9"/>
    <w:rsid w:val="009B3460"/>
    <w:rsid w:val="00A20FDA"/>
    <w:rsid w:val="00A24CD5"/>
    <w:rsid w:val="00A40C4B"/>
    <w:rsid w:val="00A636E2"/>
    <w:rsid w:val="00A67A57"/>
    <w:rsid w:val="00A73D16"/>
    <w:rsid w:val="00A95DA5"/>
    <w:rsid w:val="00AF366B"/>
    <w:rsid w:val="00AF40C0"/>
    <w:rsid w:val="00B110A3"/>
    <w:rsid w:val="00B15E3F"/>
    <w:rsid w:val="00B31A9D"/>
    <w:rsid w:val="00B54D71"/>
    <w:rsid w:val="00B567B3"/>
    <w:rsid w:val="00BD1CCA"/>
    <w:rsid w:val="00BF59E4"/>
    <w:rsid w:val="00C0346A"/>
    <w:rsid w:val="00C04E25"/>
    <w:rsid w:val="00C16F81"/>
    <w:rsid w:val="00CB3357"/>
    <w:rsid w:val="00CC49D6"/>
    <w:rsid w:val="00CE3332"/>
    <w:rsid w:val="00D14AA7"/>
    <w:rsid w:val="00D163BC"/>
    <w:rsid w:val="00D55DC8"/>
    <w:rsid w:val="00D618B9"/>
    <w:rsid w:val="00DB115F"/>
    <w:rsid w:val="00DB33E5"/>
    <w:rsid w:val="00DC6DFD"/>
    <w:rsid w:val="00E22A04"/>
    <w:rsid w:val="00E35E5F"/>
    <w:rsid w:val="00E62D29"/>
    <w:rsid w:val="00ED20E0"/>
    <w:rsid w:val="00ED6A86"/>
    <w:rsid w:val="00ED73D8"/>
    <w:rsid w:val="00EE1856"/>
    <w:rsid w:val="00EF0AC2"/>
    <w:rsid w:val="00EF5544"/>
    <w:rsid w:val="00F44D8D"/>
    <w:rsid w:val="00F97F1D"/>
    <w:rsid w:val="00FC4448"/>
    <w:rsid w:val="00FF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2C09D6"/>
  <w15:chartTrackingRefBased/>
  <w15:docId w15:val="{36D24BAA-13A0-314D-B633-47A06671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71"/>
    <w:pPr>
      <w:ind w:left="720"/>
      <w:contextualSpacing/>
    </w:pPr>
  </w:style>
  <w:style w:type="character" w:styleId="Hyperlink">
    <w:name w:val="Hyperlink"/>
    <w:basedOn w:val="DefaultParagraphFont"/>
    <w:uiPriority w:val="99"/>
    <w:unhideWhenUsed/>
    <w:rsid w:val="00B567B3"/>
    <w:rPr>
      <w:color w:val="0563C1" w:themeColor="hyperlink"/>
      <w:u w:val="single"/>
    </w:rPr>
  </w:style>
  <w:style w:type="character" w:styleId="UnresolvedMention">
    <w:name w:val="Unresolved Mention"/>
    <w:basedOn w:val="DefaultParagraphFont"/>
    <w:uiPriority w:val="99"/>
    <w:semiHidden/>
    <w:unhideWhenUsed/>
    <w:rsid w:val="00B56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ilemathieu/illegal_fishing/blob/master/data/AllPrice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milemathieu/illegal_fishing/blob/master/data/datasources.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ilemathieu/illegal_fishing/blob/master/data/datasources.R" TargetMode="External"/><Relationship Id="rId11" Type="http://schemas.openxmlformats.org/officeDocument/2006/relationships/hyperlink" Target="https://github.com/emilemathieu/illegal_fishing/blob/master/data/STOTEM%20Supplementary%20Material%20.pdf" TargetMode="External"/><Relationship Id="rId5" Type="http://schemas.openxmlformats.org/officeDocument/2006/relationships/hyperlink" Target="https://github.com/emilemathieu/illegal_fishing/blob/master/data/dataland.csv" TargetMode="External"/><Relationship Id="rId10" Type="http://schemas.openxmlformats.org/officeDocument/2006/relationships/hyperlink" Target="https://github.com/emilemathieu/illegal_fishing/blob/master/data/STOTEN-S-20-38734.pdf" TargetMode="External"/><Relationship Id="rId4" Type="http://schemas.openxmlformats.org/officeDocument/2006/relationships/webSettings" Target="webSettings.xml"/><Relationship Id="rId9" Type="http://schemas.openxmlformats.org/officeDocument/2006/relationships/hyperlink" Target="https://github.com/emilemathieu/illegal_fishing/blob/master/data/datasource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Oyanedel</dc:creator>
  <cp:keywords/>
  <dc:description/>
  <cp:lastModifiedBy>Rodrigo Oyanedel</cp:lastModifiedBy>
  <cp:revision>88</cp:revision>
  <dcterms:created xsi:type="dcterms:W3CDTF">2020-12-07T12:09:00Z</dcterms:created>
  <dcterms:modified xsi:type="dcterms:W3CDTF">2020-12-07T14:25:00Z</dcterms:modified>
</cp:coreProperties>
</file>