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9DB6D" w14:textId="13295326" w:rsidR="001D4E5F" w:rsidRDefault="001D4E5F" w:rsidP="00745490">
      <w:pPr>
        <w:spacing w:line="360" w:lineRule="auto"/>
        <w:jc w:val="center"/>
        <w:rPr>
          <w:sz w:val="36"/>
          <w:szCs w:val="36"/>
        </w:rPr>
      </w:pPr>
      <w:r>
        <w:rPr>
          <w:sz w:val="36"/>
          <w:szCs w:val="36"/>
        </w:rPr>
        <w:t>Supplementary Information:</w:t>
      </w:r>
    </w:p>
    <w:p w14:paraId="38F371A7" w14:textId="47352E31" w:rsidR="00BA0535" w:rsidRPr="00476F6C" w:rsidRDefault="00BA0535" w:rsidP="00745490">
      <w:pPr>
        <w:spacing w:line="360" w:lineRule="auto"/>
        <w:jc w:val="center"/>
        <w:rPr>
          <w:sz w:val="36"/>
          <w:szCs w:val="36"/>
        </w:rPr>
      </w:pPr>
      <w:r w:rsidRPr="00476F6C">
        <w:rPr>
          <w:sz w:val="36"/>
          <w:szCs w:val="36"/>
        </w:rPr>
        <w:t xml:space="preserve">A framework for assessing and intervening </w:t>
      </w:r>
      <w:r>
        <w:rPr>
          <w:sz w:val="36"/>
          <w:szCs w:val="36"/>
        </w:rPr>
        <w:t xml:space="preserve">in </w:t>
      </w:r>
      <w:r w:rsidRPr="00476F6C">
        <w:rPr>
          <w:sz w:val="36"/>
          <w:szCs w:val="36"/>
        </w:rPr>
        <w:t>markets driving unsustainable wildlife use</w:t>
      </w:r>
    </w:p>
    <w:p w14:paraId="565D554A" w14:textId="0702BC26" w:rsidR="00BA0535" w:rsidRPr="00EF46E6" w:rsidRDefault="00BA0535" w:rsidP="00745490">
      <w:pPr>
        <w:spacing w:line="360" w:lineRule="auto"/>
        <w:jc w:val="center"/>
        <w:rPr>
          <w:rFonts w:cstheme="minorHAnsi"/>
          <w:vertAlign w:val="superscript"/>
        </w:rPr>
      </w:pPr>
      <w:r w:rsidRPr="003F607D">
        <w:rPr>
          <w:rFonts w:cstheme="minorHAnsi"/>
        </w:rPr>
        <w:t>Rodrigo Oyanedel</w:t>
      </w:r>
      <w:r>
        <w:rPr>
          <w:rFonts w:cstheme="minorHAnsi"/>
          <w:vertAlign w:val="superscript"/>
        </w:rPr>
        <w:t>1</w:t>
      </w:r>
      <w:r w:rsidR="00AB2884">
        <w:rPr>
          <w:rFonts w:cstheme="minorHAnsi"/>
          <w:vertAlign w:val="superscript"/>
        </w:rPr>
        <w:t>*</w:t>
      </w:r>
      <w:r w:rsidRPr="003F607D">
        <w:rPr>
          <w:rFonts w:cstheme="minorHAnsi"/>
        </w:rPr>
        <w:t>, Stefan Gelcich</w:t>
      </w:r>
      <w:r>
        <w:rPr>
          <w:rFonts w:cstheme="minorHAnsi"/>
          <w:vertAlign w:val="superscript"/>
        </w:rPr>
        <w:t>2</w:t>
      </w:r>
      <w:r>
        <w:rPr>
          <w:rFonts w:cstheme="minorHAnsi"/>
        </w:rPr>
        <w:t xml:space="preserve"> and </w:t>
      </w:r>
      <w:r w:rsidRPr="003F607D">
        <w:rPr>
          <w:rFonts w:cstheme="minorHAnsi"/>
        </w:rPr>
        <w:t>EJ Milner-Gulland</w:t>
      </w:r>
      <w:r>
        <w:rPr>
          <w:rFonts w:cstheme="minorHAnsi"/>
          <w:vertAlign w:val="superscript"/>
        </w:rPr>
        <w:t>1</w:t>
      </w:r>
    </w:p>
    <w:p w14:paraId="1F8940CE" w14:textId="45E695C9" w:rsidR="00F74D02" w:rsidRPr="004B60EE" w:rsidRDefault="00BA0535" w:rsidP="00745490">
      <w:pPr>
        <w:spacing w:line="360" w:lineRule="auto"/>
        <w:rPr>
          <w:rFonts w:cstheme="minorHAnsi"/>
          <w:sz w:val="21"/>
        </w:rPr>
      </w:pPr>
      <w:r w:rsidRPr="00223B92">
        <w:rPr>
          <w:rFonts w:cstheme="minorHAnsi"/>
          <w:sz w:val="22"/>
        </w:rPr>
        <w:t>﻿</w:t>
      </w:r>
      <w:r w:rsidRPr="00AD7C33">
        <w:rPr>
          <w:rFonts w:cstheme="minorHAnsi"/>
          <w:sz w:val="21"/>
        </w:rPr>
        <w:t xml:space="preserve">1) Department of Zoology, The Interdisciplinary Centre for Conservation Science, University of Oxford, Oxford, UK. 2) </w:t>
      </w:r>
      <w:proofErr w:type="spellStart"/>
      <w:r w:rsidRPr="00AD7C33">
        <w:rPr>
          <w:rFonts w:cstheme="minorHAnsi"/>
          <w:sz w:val="21"/>
        </w:rPr>
        <w:t>Center</w:t>
      </w:r>
      <w:proofErr w:type="spellEnd"/>
      <w:r w:rsidRPr="00AD7C33">
        <w:rPr>
          <w:rFonts w:cstheme="minorHAnsi"/>
          <w:sz w:val="21"/>
        </w:rPr>
        <w:t xml:space="preserve"> of Applied Ecology and Sustainability (CAPES) &amp; </w:t>
      </w:r>
      <w:proofErr w:type="spellStart"/>
      <w:r w:rsidRPr="00AD7C33">
        <w:rPr>
          <w:rFonts w:cstheme="minorHAnsi"/>
          <w:sz w:val="21"/>
        </w:rPr>
        <w:t>Center</w:t>
      </w:r>
      <w:proofErr w:type="spellEnd"/>
      <w:r w:rsidRPr="00AD7C33">
        <w:rPr>
          <w:rFonts w:cstheme="minorHAnsi"/>
          <w:sz w:val="21"/>
        </w:rPr>
        <w:t xml:space="preserve"> for the Study of Multiple-Drivers on Marine Socio- Ecological Systems, </w:t>
      </w:r>
      <w:proofErr w:type="spellStart"/>
      <w:r w:rsidRPr="00AD7C33">
        <w:rPr>
          <w:rFonts w:cstheme="minorHAnsi"/>
          <w:sz w:val="21"/>
        </w:rPr>
        <w:t>Pontificia</w:t>
      </w:r>
      <w:proofErr w:type="spellEnd"/>
      <w:r w:rsidRPr="00AD7C33">
        <w:rPr>
          <w:rFonts w:cstheme="minorHAnsi"/>
          <w:sz w:val="21"/>
        </w:rPr>
        <w:t xml:space="preserve"> Universidad </w:t>
      </w:r>
      <w:proofErr w:type="spellStart"/>
      <w:r w:rsidRPr="00AD7C33">
        <w:rPr>
          <w:rFonts w:cstheme="minorHAnsi"/>
          <w:sz w:val="21"/>
        </w:rPr>
        <w:t>Catolica</w:t>
      </w:r>
      <w:proofErr w:type="spellEnd"/>
      <w:r w:rsidRPr="00AD7C33">
        <w:rPr>
          <w:rFonts w:cstheme="minorHAnsi"/>
          <w:sz w:val="21"/>
        </w:rPr>
        <w:t xml:space="preserve"> de Chile, Santiago, Chile</w:t>
      </w:r>
    </w:p>
    <w:p w14:paraId="695F30EE" w14:textId="77777777" w:rsidR="00AB2884" w:rsidRPr="00460533" w:rsidRDefault="00AB2884" w:rsidP="00AB2884">
      <w:pPr>
        <w:spacing w:line="480" w:lineRule="auto"/>
        <w:rPr>
          <w:sz w:val="21"/>
        </w:rPr>
      </w:pPr>
      <w:r w:rsidRPr="00460533">
        <w:rPr>
          <w:sz w:val="21"/>
        </w:rPr>
        <w:t>* ﻿Correspondence</w:t>
      </w:r>
    </w:p>
    <w:p w14:paraId="03E5096F" w14:textId="77777777" w:rsidR="00AB2884" w:rsidRPr="00460533" w:rsidRDefault="00AB2884" w:rsidP="00AB2884">
      <w:pPr>
        <w:spacing w:line="480" w:lineRule="auto"/>
        <w:rPr>
          <w:sz w:val="21"/>
        </w:rPr>
      </w:pPr>
      <w:r w:rsidRPr="00460533">
        <w:rPr>
          <w:sz w:val="21"/>
        </w:rPr>
        <w:t>Rodrigo Oyanedel, Department of Zoology, The Interdisciplinary Centre for Conservation Science, University of Oxford, 11a Mansfield Rd, Oxford OX1 3SZ, UK. Email: rodrigo.oyanedel@zoo.ox.ac.uk</w:t>
      </w:r>
    </w:p>
    <w:p w14:paraId="4AABD57D" w14:textId="546A4C84" w:rsidR="000A5607" w:rsidRDefault="000A5607" w:rsidP="00745490">
      <w:pPr>
        <w:spacing w:line="360" w:lineRule="auto"/>
      </w:pPr>
    </w:p>
    <w:p w14:paraId="446A61DC" w14:textId="77777777" w:rsidR="000A5607" w:rsidRPr="002D59BA" w:rsidRDefault="000A5607" w:rsidP="002D59BA">
      <w:pPr>
        <w:spacing w:line="360" w:lineRule="auto"/>
        <w:rPr>
          <w:sz w:val="28"/>
          <w:szCs w:val="28"/>
        </w:rPr>
      </w:pPr>
      <w:r w:rsidRPr="002D59BA">
        <w:rPr>
          <w:sz w:val="28"/>
          <w:szCs w:val="28"/>
        </w:rPr>
        <w:t>Methodology</w:t>
      </w:r>
    </w:p>
    <w:p w14:paraId="406D735D" w14:textId="77777777" w:rsidR="000A5607" w:rsidRPr="00476F6C" w:rsidRDefault="000A5607" w:rsidP="00745490">
      <w:pPr>
        <w:spacing w:line="360" w:lineRule="auto"/>
      </w:pPr>
    </w:p>
    <w:p w14:paraId="41EF8935" w14:textId="77777777" w:rsidR="000A5607" w:rsidRPr="000A2300" w:rsidRDefault="000A5607" w:rsidP="00745490">
      <w:pPr>
        <w:pStyle w:val="ListParagraph"/>
        <w:numPr>
          <w:ilvl w:val="1"/>
          <w:numId w:val="8"/>
        </w:numPr>
        <w:spacing w:line="360" w:lineRule="auto"/>
        <w:rPr>
          <w:b/>
          <w:i/>
        </w:rPr>
      </w:pPr>
      <w:r w:rsidRPr="00476F6C">
        <w:rPr>
          <w:b/>
          <w:i/>
        </w:rPr>
        <w:t>Key Informant Interviews</w:t>
      </w:r>
    </w:p>
    <w:p w14:paraId="140D4456" w14:textId="2AA3A46D" w:rsidR="00AC4D51" w:rsidRDefault="000A5607" w:rsidP="00745490">
      <w:pPr>
        <w:spacing w:line="360" w:lineRule="auto"/>
        <w:ind w:firstLine="720"/>
        <w:rPr>
          <w:rFonts w:eastAsia="Times New Roman" w:cstheme="minorHAnsi"/>
          <w:color w:val="0E101A"/>
        </w:rPr>
      </w:pPr>
      <w:r>
        <w:rPr>
          <w:rFonts w:eastAsia="Times New Roman" w:cstheme="minorHAnsi"/>
          <w:color w:val="0E101A"/>
        </w:rPr>
        <w:t>K</w:t>
      </w:r>
      <w:r w:rsidRPr="000A2300">
        <w:rPr>
          <w:rFonts w:eastAsia="Times New Roman" w:cstheme="minorHAnsi"/>
          <w:color w:val="0E101A"/>
        </w:rPr>
        <w:t>ey-informant open-ended semi-structured interviews started with an explanation of the project scope and objectives and followed with a list of reference questions</w:t>
      </w:r>
      <w:r w:rsidR="00721FDE">
        <w:rPr>
          <w:rFonts w:eastAsia="Times New Roman" w:cstheme="minorHAnsi"/>
          <w:color w:val="0E101A"/>
        </w:rPr>
        <w:t xml:space="preserve"> (see below)</w:t>
      </w:r>
      <w:r w:rsidRPr="000A2300">
        <w:rPr>
          <w:rFonts w:eastAsia="Times New Roman" w:cstheme="minorHAnsi"/>
          <w:color w:val="0E101A"/>
        </w:rPr>
        <w:t xml:space="preserve">. Reference questions were divided into </w:t>
      </w:r>
      <w:r>
        <w:rPr>
          <w:rFonts w:eastAsia="Times New Roman" w:cstheme="minorHAnsi"/>
          <w:color w:val="0E101A"/>
        </w:rPr>
        <w:t>f</w:t>
      </w:r>
      <w:r w:rsidR="00E23554">
        <w:rPr>
          <w:rFonts w:eastAsia="Times New Roman" w:cstheme="minorHAnsi"/>
          <w:color w:val="0E101A"/>
        </w:rPr>
        <w:t>our</w:t>
      </w:r>
      <w:r w:rsidRPr="000A2300">
        <w:rPr>
          <w:rFonts w:eastAsia="Times New Roman" w:cstheme="minorHAnsi"/>
          <w:color w:val="0E101A"/>
        </w:rPr>
        <w:t xml:space="preserve"> categories</w:t>
      </w:r>
      <w:r>
        <w:rPr>
          <w:rFonts w:eastAsia="Times New Roman" w:cstheme="minorHAnsi"/>
          <w:color w:val="0E101A"/>
        </w:rPr>
        <w:t>, regarding:</w:t>
      </w:r>
      <w:r w:rsidRPr="000A2300">
        <w:rPr>
          <w:rFonts w:eastAsia="Times New Roman" w:cstheme="minorHAnsi"/>
          <w:color w:val="0E101A"/>
        </w:rPr>
        <w:t xml:space="preserve"> a) actors' motivations </w:t>
      </w:r>
      <w:r>
        <w:rPr>
          <w:rFonts w:eastAsia="Times New Roman" w:cstheme="minorHAnsi"/>
          <w:color w:val="0E101A"/>
        </w:rPr>
        <w:t>(</w:t>
      </w:r>
      <w:r w:rsidRPr="000A2300">
        <w:rPr>
          <w:rFonts w:eastAsia="Times New Roman" w:cstheme="minorHAnsi"/>
          <w:color w:val="0E101A"/>
        </w:rPr>
        <w:t xml:space="preserve">focusing on </w:t>
      </w:r>
      <w:r>
        <w:rPr>
          <w:rFonts w:eastAsia="Times New Roman" w:cstheme="minorHAnsi"/>
          <w:color w:val="0E101A"/>
        </w:rPr>
        <w:t>why</w:t>
      </w:r>
      <w:r w:rsidRPr="000A2300">
        <w:rPr>
          <w:rFonts w:eastAsia="Times New Roman" w:cstheme="minorHAnsi"/>
          <w:color w:val="0E101A"/>
        </w:rPr>
        <w:t xml:space="preserve"> they trade legal or unreported products)</w:t>
      </w:r>
      <w:r>
        <w:rPr>
          <w:rFonts w:eastAsia="Times New Roman" w:cstheme="minorHAnsi"/>
          <w:color w:val="0E101A"/>
        </w:rPr>
        <w:t xml:space="preserve">, b) </w:t>
      </w:r>
      <w:r w:rsidRPr="000A2300">
        <w:rPr>
          <w:rFonts w:eastAsia="Times New Roman" w:cstheme="minorHAnsi"/>
          <w:color w:val="0E101A"/>
        </w:rPr>
        <w:t>how</w:t>
      </w:r>
      <w:r>
        <w:rPr>
          <w:rFonts w:eastAsia="Times New Roman" w:cstheme="minorHAnsi"/>
          <w:color w:val="0E101A"/>
        </w:rPr>
        <w:t xml:space="preserve"> actors </w:t>
      </w:r>
      <w:r w:rsidRPr="000A2300">
        <w:rPr>
          <w:rFonts w:eastAsia="Times New Roman" w:cstheme="minorHAnsi"/>
          <w:color w:val="0E101A"/>
        </w:rPr>
        <w:t>access the benefits of the fishery</w:t>
      </w:r>
      <w:r>
        <w:rPr>
          <w:rFonts w:eastAsia="Times New Roman" w:cstheme="minorHAnsi"/>
          <w:color w:val="0E101A"/>
        </w:rPr>
        <w:t>,</w:t>
      </w:r>
      <w:r w:rsidRPr="000A2300">
        <w:rPr>
          <w:rFonts w:eastAsia="Times New Roman" w:cstheme="minorHAnsi"/>
          <w:color w:val="0E101A"/>
        </w:rPr>
        <w:t xml:space="preserve"> the supply-chain structure and </w:t>
      </w:r>
      <w:r>
        <w:rPr>
          <w:rFonts w:eastAsia="Times New Roman" w:cstheme="minorHAnsi"/>
          <w:color w:val="0E101A"/>
        </w:rPr>
        <w:t>component interaction</w:t>
      </w:r>
      <w:r w:rsidRPr="000A2300">
        <w:rPr>
          <w:rFonts w:eastAsia="Times New Roman" w:cstheme="minorHAnsi"/>
          <w:color w:val="0E101A"/>
        </w:rPr>
        <w:t>,</w:t>
      </w:r>
      <w:r>
        <w:rPr>
          <w:rFonts w:eastAsia="Times New Roman" w:cstheme="minorHAnsi"/>
          <w:color w:val="0E101A"/>
        </w:rPr>
        <w:t xml:space="preserve"> c) the o</w:t>
      </w:r>
      <w:r w:rsidRPr="00C374C7">
        <w:rPr>
          <w:rFonts w:eastAsia="Times New Roman" w:cstheme="minorHAnsi"/>
          <w:color w:val="0E101A"/>
        </w:rPr>
        <w:t xml:space="preserve">peration of the </w:t>
      </w:r>
      <w:r>
        <w:rPr>
          <w:rFonts w:eastAsia="Times New Roman" w:cstheme="minorHAnsi"/>
          <w:color w:val="0E101A"/>
        </w:rPr>
        <w:t>legal/illegal</w:t>
      </w:r>
      <w:r w:rsidRPr="00C374C7">
        <w:rPr>
          <w:rFonts w:eastAsia="Times New Roman" w:cstheme="minorHAnsi"/>
          <w:color w:val="0E101A"/>
        </w:rPr>
        <w:t xml:space="preserve"> market</w:t>
      </w:r>
      <w:r>
        <w:rPr>
          <w:rFonts w:eastAsia="Times New Roman" w:cstheme="minorHAnsi"/>
          <w:color w:val="0E101A"/>
        </w:rPr>
        <w:t>, and</w:t>
      </w:r>
      <w:r w:rsidRPr="000A2300">
        <w:rPr>
          <w:rFonts w:eastAsia="Times New Roman" w:cstheme="minorHAnsi"/>
          <w:color w:val="0E101A"/>
        </w:rPr>
        <w:t xml:space="preserve"> </w:t>
      </w:r>
      <w:r>
        <w:rPr>
          <w:rFonts w:eastAsia="Times New Roman" w:cstheme="minorHAnsi"/>
          <w:color w:val="0E101A"/>
        </w:rPr>
        <w:t>d</w:t>
      </w:r>
      <w:r w:rsidRPr="000A2300">
        <w:rPr>
          <w:rFonts w:eastAsia="Times New Roman" w:cstheme="minorHAnsi"/>
          <w:color w:val="0E101A"/>
        </w:rPr>
        <w:t>) the overarching market dynamic.</w:t>
      </w:r>
      <w:r>
        <w:rPr>
          <w:rFonts w:eastAsia="Times New Roman" w:cstheme="minorHAnsi"/>
          <w:color w:val="0E101A"/>
        </w:rPr>
        <w:t xml:space="preserve"> </w:t>
      </w:r>
      <w:r w:rsidRPr="000A2300">
        <w:rPr>
          <w:rFonts w:eastAsia="Times New Roman" w:cstheme="minorHAnsi"/>
          <w:color w:val="0E101A"/>
        </w:rPr>
        <w:t xml:space="preserve">Interviews were performed during March-April 2019. Due to COVID-19, all interviews were done over the phone or email. Before each interview, we informed </w:t>
      </w:r>
      <w:r>
        <w:rPr>
          <w:rFonts w:eastAsia="Times New Roman" w:cstheme="minorHAnsi"/>
          <w:color w:val="0E101A"/>
        </w:rPr>
        <w:t xml:space="preserve">participants </w:t>
      </w:r>
      <w:r w:rsidRPr="000A2300">
        <w:rPr>
          <w:rFonts w:eastAsia="Times New Roman" w:cstheme="minorHAnsi"/>
          <w:color w:val="0E101A"/>
        </w:rPr>
        <w:t xml:space="preserve">that participation was voluntary and that participants could refuse to answer any particular question. We used </w:t>
      </w:r>
      <w:proofErr w:type="gramStart"/>
      <w:r w:rsidRPr="000A2300">
        <w:rPr>
          <w:rFonts w:eastAsia="Times New Roman" w:cstheme="minorHAnsi"/>
          <w:color w:val="0E101A"/>
        </w:rPr>
        <w:t>snowballing</w:t>
      </w:r>
      <w:proofErr w:type="gramEnd"/>
      <w:r w:rsidRPr="000A2300">
        <w:rPr>
          <w:rFonts w:eastAsia="Times New Roman" w:cstheme="minorHAnsi"/>
          <w:color w:val="0E101A"/>
        </w:rPr>
        <w:t xml:space="preserve"> sampling, starting with leaders of the main fishers' associations in the region and known contacts of the researchers. In total, we interviewed 23 informants, including fishers, government officials, intermediaries, vendors, NGOs staff, and enforcement agents. Depending on the key-informant</w:t>
      </w:r>
      <w:r>
        <w:rPr>
          <w:rFonts w:eastAsia="Times New Roman" w:cstheme="minorHAnsi"/>
          <w:color w:val="0E101A"/>
        </w:rPr>
        <w:t>'s</w:t>
      </w:r>
      <w:r w:rsidRPr="000A2300">
        <w:rPr>
          <w:rFonts w:eastAsia="Times New Roman" w:cstheme="minorHAnsi"/>
          <w:color w:val="0E101A"/>
        </w:rPr>
        <w:t xml:space="preserve"> role, some questions were omitted, and others were explored in more depth. Interviews over the phone lasted between 30 and 90 minutes. The study complied with Oxford University's ethical requirements (approval number R68516/RE001).</w:t>
      </w:r>
    </w:p>
    <w:p w14:paraId="41B6C8F9" w14:textId="24D78160" w:rsidR="00770D2B" w:rsidRPr="00E306B6" w:rsidRDefault="00770D2B" w:rsidP="00745490">
      <w:pPr>
        <w:spacing w:line="360" w:lineRule="auto"/>
        <w:rPr>
          <w:b/>
        </w:rPr>
      </w:pPr>
      <w:r w:rsidRPr="00770D2B">
        <w:rPr>
          <w:b/>
        </w:rPr>
        <w:lastRenderedPageBreak/>
        <w:t>Key-informant interview list of reference questions</w:t>
      </w:r>
    </w:p>
    <w:p w14:paraId="1C48BE98" w14:textId="77777777" w:rsidR="00770D2B" w:rsidRPr="00C17E4F" w:rsidRDefault="00770D2B" w:rsidP="00745490">
      <w:pPr>
        <w:numPr>
          <w:ilvl w:val="0"/>
          <w:numId w:val="2"/>
        </w:numPr>
        <w:spacing w:line="360" w:lineRule="auto"/>
        <w:rPr>
          <w:rFonts w:eastAsia="Times New Roman" w:cstheme="minorHAnsi"/>
          <w:i/>
          <w:color w:val="0E101A"/>
        </w:rPr>
      </w:pPr>
      <w:r w:rsidRPr="00C17E4F">
        <w:rPr>
          <w:rFonts w:eastAsia="Times New Roman" w:cstheme="minorHAnsi"/>
          <w:i/>
          <w:color w:val="0E101A"/>
        </w:rPr>
        <w:t>Factors affecting actor’s decision to trade legal or unreported products</w:t>
      </w:r>
    </w:p>
    <w:p w14:paraId="2DC4814C" w14:textId="77777777" w:rsidR="00770D2B" w:rsidRPr="00B429C7" w:rsidRDefault="00770D2B" w:rsidP="00745490">
      <w:pPr>
        <w:pStyle w:val="ListParagraph"/>
        <w:numPr>
          <w:ilvl w:val="0"/>
          <w:numId w:val="6"/>
        </w:numPr>
        <w:spacing w:line="360" w:lineRule="auto"/>
      </w:pPr>
      <w:r w:rsidRPr="00B429C7">
        <w:t xml:space="preserve">What are the main factors that affect the decision to trade legal or unreported common hake? </w:t>
      </w:r>
    </w:p>
    <w:p w14:paraId="66A0FD4D" w14:textId="77777777" w:rsidR="00770D2B" w:rsidRPr="00B429C7" w:rsidRDefault="00770D2B" w:rsidP="00745490">
      <w:pPr>
        <w:pStyle w:val="ListParagraph"/>
        <w:numPr>
          <w:ilvl w:val="0"/>
          <w:numId w:val="6"/>
        </w:numPr>
        <w:spacing w:line="360" w:lineRule="auto"/>
      </w:pPr>
      <w:r w:rsidRPr="00B429C7">
        <w:t>Do intermediaries always carry legal hake?</w:t>
      </w:r>
    </w:p>
    <w:p w14:paraId="492251C2" w14:textId="77777777" w:rsidR="00770D2B" w:rsidRPr="00B429C7" w:rsidRDefault="00770D2B" w:rsidP="00745490">
      <w:pPr>
        <w:pStyle w:val="ListParagraph"/>
        <w:numPr>
          <w:ilvl w:val="0"/>
          <w:numId w:val="6"/>
        </w:numPr>
        <w:spacing w:line="360" w:lineRule="auto"/>
      </w:pPr>
      <w:r w:rsidRPr="00B429C7">
        <w:t>What determines the legal/unreported purchase ratio?</w:t>
      </w:r>
    </w:p>
    <w:p w14:paraId="44A750B3" w14:textId="77777777" w:rsidR="00770D2B" w:rsidRPr="00B429C7" w:rsidRDefault="00770D2B" w:rsidP="00745490">
      <w:pPr>
        <w:pStyle w:val="ListParagraph"/>
        <w:numPr>
          <w:ilvl w:val="0"/>
          <w:numId w:val="6"/>
        </w:numPr>
        <w:spacing w:line="360" w:lineRule="auto"/>
      </w:pPr>
      <w:r w:rsidRPr="00B429C7">
        <w:t xml:space="preserve">Does this </w:t>
      </w:r>
      <w:r>
        <w:t xml:space="preserve">ratio </w:t>
      </w:r>
      <w:r w:rsidRPr="00B429C7">
        <w:t xml:space="preserve">vary? </w:t>
      </w:r>
    </w:p>
    <w:p w14:paraId="61CFB8F8" w14:textId="77777777" w:rsidR="00770D2B" w:rsidRPr="00B429C7" w:rsidRDefault="00770D2B" w:rsidP="00745490">
      <w:pPr>
        <w:pStyle w:val="ListParagraph"/>
        <w:numPr>
          <w:ilvl w:val="0"/>
          <w:numId w:val="6"/>
        </w:numPr>
        <w:spacing w:line="360" w:lineRule="auto"/>
      </w:pPr>
      <w:r w:rsidRPr="00B429C7">
        <w:t>What affects its variability?</w:t>
      </w:r>
    </w:p>
    <w:p w14:paraId="78F7E90B" w14:textId="77777777" w:rsidR="00770D2B" w:rsidRPr="00B429C7" w:rsidRDefault="00770D2B" w:rsidP="00745490">
      <w:pPr>
        <w:spacing w:line="360" w:lineRule="auto"/>
      </w:pPr>
    </w:p>
    <w:p w14:paraId="59B43ADD" w14:textId="32255B29" w:rsidR="00770D2B" w:rsidRPr="00C17E4F" w:rsidRDefault="00770D2B" w:rsidP="00745490">
      <w:pPr>
        <w:pStyle w:val="ListParagraph"/>
        <w:numPr>
          <w:ilvl w:val="0"/>
          <w:numId w:val="2"/>
        </w:numPr>
        <w:spacing w:line="360" w:lineRule="auto"/>
        <w:rPr>
          <w:i/>
        </w:rPr>
      </w:pPr>
      <w:r w:rsidRPr="00C17E4F">
        <w:rPr>
          <w:rFonts w:eastAsia="Times New Roman" w:cstheme="minorHAnsi"/>
          <w:i/>
          <w:color w:val="0E101A"/>
        </w:rPr>
        <w:t xml:space="preserve">How </w:t>
      </w:r>
      <w:r>
        <w:rPr>
          <w:rFonts w:eastAsia="Times New Roman" w:cstheme="minorHAnsi"/>
          <w:i/>
          <w:color w:val="0E101A"/>
        </w:rPr>
        <w:t>actors</w:t>
      </w:r>
      <w:r w:rsidRPr="00C17E4F">
        <w:rPr>
          <w:rFonts w:eastAsia="Times New Roman" w:cstheme="minorHAnsi"/>
          <w:i/>
          <w:color w:val="0E101A"/>
        </w:rPr>
        <w:t xml:space="preserve"> access the benefits of the fishery, the supply-chain structure and </w:t>
      </w:r>
      <w:r w:rsidR="009B2FFF">
        <w:rPr>
          <w:rFonts w:eastAsia="Times New Roman" w:cstheme="minorHAnsi"/>
          <w:color w:val="0E101A"/>
        </w:rPr>
        <w:t>component interaction</w:t>
      </w:r>
    </w:p>
    <w:p w14:paraId="72431177" w14:textId="77777777" w:rsidR="00770D2B" w:rsidRDefault="00770D2B" w:rsidP="00745490">
      <w:pPr>
        <w:spacing w:line="360" w:lineRule="auto"/>
      </w:pPr>
    </w:p>
    <w:p w14:paraId="1201F2A0" w14:textId="77777777" w:rsidR="00770D2B" w:rsidRPr="00F441BF" w:rsidRDefault="00770D2B" w:rsidP="00745490">
      <w:pPr>
        <w:pStyle w:val="ListParagraph"/>
        <w:numPr>
          <w:ilvl w:val="0"/>
          <w:numId w:val="5"/>
        </w:numPr>
        <w:spacing w:line="360" w:lineRule="auto"/>
        <w:rPr>
          <w:lang w:val="en-US"/>
        </w:rPr>
      </w:pPr>
      <w:r w:rsidRPr="00F441BF">
        <w:rPr>
          <w:lang w:val="en-US"/>
        </w:rPr>
        <w:t xml:space="preserve">Are there groups of actors with excessive (or lack of) capacity to access the benefits of the market? </w:t>
      </w:r>
    </w:p>
    <w:p w14:paraId="6FC5A948" w14:textId="77777777" w:rsidR="00770D2B" w:rsidRPr="003041A4" w:rsidRDefault="00770D2B" w:rsidP="00745490">
      <w:pPr>
        <w:pStyle w:val="ListParagraph"/>
        <w:numPr>
          <w:ilvl w:val="0"/>
          <w:numId w:val="5"/>
        </w:numPr>
        <w:spacing w:line="360" w:lineRule="auto"/>
      </w:pPr>
      <w:r w:rsidRPr="003041A4">
        <w:t xml:space="preserve">Do fishers have power to negotiate prices with </w:t>
      </w:r>
      <w:r>
        <w:t>intermediaries</w:t>
      </w:r>
      <w:r w:rsidRPr="003041A4">
        <w:t xml:space="preserve">? </w:t>
      </w:r>
    </w:p>
    <w:p w14:paraId="0CFC221A" w14:textId="77777777" w:rsidR="00770D2B" w:rsidRPr="00FE3EC7" w:rsidRDefault="00770D2B" w:rsidP="00745490">
      <w:pPr>
        <w:pStyle w:val="ListParagraph"/>
        <w:numPr>
          <w:ilvl w:val="0"/>
          <w:numId w:val="5"/>
        </w:numPr>
        <w:spacing w:line="360" w:lineRule="auto"/>
        <w:rPr>
          <w:lang w:val="en-US"/>
        </w:rPr>
      </w:pPr>
      <w:r w:rsidRPr="00B429C7">
        <w:t>Do intermediaries set prices?</w:t>
      </w:r>
    </w:p>
    <w:p w14:paraId="3FB4E522" w14:textId="77777777" w:rsidR="00770D2B" w:rsidRPr="00B429C7" w:rsidRDefault="00770D2B" w:rsidP="00745490">
      <w:pPr>
        <w:pStyle w:val="ListParagraph"/>
        <w:numPr>
          <w:ilvl w:val="0"/>
          <w:numId w:val="5"/>
        </w:numPr>
        <w:spacing w:line="360" w:lineRule="auto"/>
      </w:pPr>
      <w:r w:rsidRPr="00B429C7">
        <w:t>How would you characterize the nature of the relationship between actors in the market?</w:t>
      </w:r>
    </w:p>
    <w:p w14:paraId="19C73134" w14:textId="77777777" w:rsidR="00770D2B" w:rsidRPr="00B429C7" w:rsidRDefault="00770D2B" w:rsidP="00745490">
      <w:pPr>
        <w:pStyle w:val="ListParagraph"/>
        <w:numPr>
          <w:ilvl w:val="0"/>
          <w:numId w:val="5"/>
        </w:numPr>
        <w:spacing w:line="360" w:lineRule="auto"/>
      </w:pPr>
      <w:r w:rsidRPr="00B429C7">
        <w:t>Do intermediaries finance the activity of fishers?</w:t>
      </w:r>
    </w:p>
    <w:p w14:paraId="09B7684B" w14:textId="77777777" w:rsidR="00770D2B" w:rsidRPr="00B429C7" w:rsidRDefault="00770D2B" w:rsidP="00745490">
      <w:pPr>
        <w:pStyle w:val="ListParagraph"/>
        <w:numPr>
          <w:ilvl w:val="0"/>
          <w:numId w:val="5"/>
        </w:numPr>
        <w:spacing w:line="360" w:lineRule="auto"/>
      </w:pPr>
      <w:r w:rsidRPr="00B429C7">
        <w:t xml:space="preserve">Do actors enter and exit the fishery? </w:t>
      </w:r>
    </w:p>
    <w:p w14:paraId="5C28B4E6" w14:textId="77777777" w:rsidR="00770D2B" w:rsidRPr="00B429C7" w:rsidRDefault="00770D2B" w:rsidP="00745490">
      <w:pPr>
        <w:pStyle w:val="ListParagraph"/>
        <w:numPr>
          <w:ilvl w:val="0"/>
          <w:numId w:val="5"/>
        </w:numPr>
        <w:spacing w:line="360" w:lineRule="auto"/>
      </w:pPr>
      <w:r w:rsidRPr="00B429C7">
        <w:t xml:space="preserve">What causes actors to enter or leave the fishery? </w:t>
      </w:r>
    </w:p>
    <w:p w14:paraId="20B0C97A" w14:textId="77777777" w:rsidR="00770D2B" w:rsidRPr="00B429C7" w:rsidRDefault="00770D2B" w:rsidP="00745490">
      <w:pPr>
        <w:pStyle w:val="ListParagraph"/>
        <w:numPr>
          <w:ilvl w:val="0"/>
          <w:numId w:val="5"/>
        </w:numPr>
        <w:spacing w:line="360" w:lineRule="auto"/>
      </w:pPr>
      <w:r w:rsidRPr="00B429C7">
        <w:t>Are there barriers to entry for new actors? Why?</w:t>
      </w:r>
    </w:p>
    <w:p w14:paraId="392E12B4" w14:textId="77777777" w:rsidR="00770D2B" w:rsidRPr="00B429C7" w:rsidRDefault="00770D2B" w:rsidP="00745490">
      <w:pPr>
        <w:spacing w:line="360" w:lineRule="auto"/>
      </w:pPr>
    </w:p>
    <w:p w14:paraId="379064E0" w14:textId="77777777" w:rsidR="00770D2B" w:rsidRPr="00C17E4F" w:rsidRDefault="00770D2B" w:rsidP="00745490">
      <w:pPr>
        <w:numPr>
          <w:ilvl w:val="0"/>
          <w:numId w:val="2"/>
        </w:numPr>
        <w:spacing w:line="360" w:lineRule="auto"/>
        <w:rPr>
          <w:rFonts w:eastAsia="Times New Roman" w:cstheme="minorHAnsi"/>
          <w:i/>
          <w:color w:val="0E101A"/>
        </w:rPr>
      </w:pPr>
      <w:r w:rsidRPr="00C17E4F">
        <w:rPr>
          <w:rFonts w:eastAsia="Times New Roman" w:cstheme="minorHAnsi"/>
          <w:i/>
          <w:color w:val="0E101A"/>
        </w:rPr>
        <w:t>Operation of the legal/unreported market</w:t>
      </w:r>
    </w:p>
    <w:p w14:paraId="397AA4EA" w14:textId="77777777" w:rsidR="00770D2B" w:rsidRPr="00B429C7" w:rsidRDefault="00770D2B" w:rsidP="00745490">
      <w:pPr>
        <w:pStyle w:val="ListParagraph"/>
        <w:numPr>
          <w:ilvl w:val="0"/>
          <w:numId w:val="3"/>
        </w:numPr>
        <w:spacing w:line="360" w:lineRule="auto"/>
      </w:pPr>
      <w:r w:rsidRPr="00B429C7">
        <w:t>Can legal and unreported products be distinguished at the market?</w:t>
      </w:r>
    </w:p>
    <w:p w14:paraId="3115800C" w14:textId="77777777" w:rsidR="00770D2B" w:rsidRPr="00B429C7" w:rsidRDefault="00770D2B" w:rsidP="00745490">
      <w:pPr>
        <w:pStyle w:val="ListParagraph"/>
        <w:numPr>
          <w:ilvl w:val="0"/>
          <w:numId w:val="3"/>
        </w:numPr>
        <w:spacing w:line="360" w:lineRule="auto"/>
      </w:pPr>
      <w:r w:rsidRPr="00B429C7">
        <w:t>How does fish enter the market without a permit?</w:t>
      </w:r>
    </w:p>
    <w:p w14:paraId="20DE1A70" w14:textId="77777777" w:rsidR="00770D2B" w:rsidRPr="00B429C7" w:rsidRDefault="00770D2B" w:rsidP="00745490">
      <w:pPr>
        <w:pStyle w:val="ListParagraph"/>
        <w:numPr>
          <w:ilvl w:val="0"/>
          <w:numId w:val="3"/>
        </w:numPr>
        <w:spacing w:line="360" w:lineRule="auto"/>
      </w:pPr>
      <w:r w:rsidRPr="00B429C7">
        <w:t>Is there a price premium for legal products?</w:t>
      </w:r>
    </w:p>
    <w:p w14:paraId="03A8F882" w14:textId="77777777" w:rsidR="00770D2B" w:rsidRPr="00B429C7" w:rsidRDefault="00770D2B" w:rsidP="00745490">
      <w:pPr>
        <w:pStyle w:val="ListParagraph"/>
        <w:spacing w:line="360" w:lineRule="auto"/>
        <w:ind w:left="1080"/>
      </w:pPr>
    </w:p>
    <w:p w14:paraId="04524116" w14:textId="77777777" w:rsidR="00770D2B" w:rsidRPr="00C17E4F" w:rsidRDefault="00770D2B" w:rsidP="00745490">
      <w:pPr>
        <w:numPr>
          <w:ilvl w:val="0"/>
          <w:numId w:val="2"/>
        </w:numPr>
        <w:spacing w:line="360" w:lineRule="auto"/>
        <w:rPr>
          <w:rFonts w:eastAsia="Times New Roman" w:cstheme="minorHAnsi"/>
          <w:i/>
          <w:color w:val="0E101A"/>
        </w:rPr>
      </w:pPr>
      <w:r w:rsidRPr="00C17E4F">
        <w:rPr>
          <w:rFonts w:eastAsia="Times New Roman" w:cstheme="minorHAnsi"/>
          <w:i/>
          <w:color w:val="0E101A"/>
        </w:rPr>
        <w:t>Overarching market dynamic</w:t>
      </w:r>
    </w:p>
    <w:p w14:paraId="6297A2C3" w14:textId="77777777" w:rsidR="00770D2B" w:rsidRPr="00B429C7" w:rsidRDefault="00770D2B" w:rsidP="00745490">
      <w:pPr>
        <w:pStyle w:val="ListParagraph"/>
        <w:numPr>
          <w:ilvl w:val="0"/>
          <w:numId w:val="3"/>
        </w:numPr>
        <w:spacing w:line="360" w:lineRule="auto"/>
      </w:pPr>
      <w:r w:rsidRPr="00B429C7">
        <w:t xml:space="preserve">What are the most important factors that determine prices? </w:t>
      </w:r>
    </w:p>
    <w:p w14:paraId="1E0FE90D" w14:textId="505F9EE5" w:rsidR="00B62CB4" w:rsidRPr="00D1203A" w:rsidRDefault="00770D2B" w:rsidP="004C2B2A">
      <w:pPr>
        <w:pStyle w:val="ListParagraph"/>
        <w:numPr>
          <w:ilvl w:val="0"/>
          <w:numId w:val="3"/>
        </w:numPr>
        <w:spacing w:line="360" w:lineRule="auto"/>
      </w:pPr>
      <w:r w:rsidRPr="00B429C7">
        <w:t xml:space="preserve">Does fishing activity respond to prices? </w:t>
      </w:r>
      <w:r>
        <w:t xml:space="preserve"> </w:t>
      </w:r>
      <w:r w:rsidRPr="00B429C7">
        <w:t>Or, alternatively, are prices driven by the quantities of fish landed</w:t>
      </w:r>
      <w:bookmarkStart w:id="0" w:name="_GoBack"/>
      <w:bookmarkEnd w:id="0"/>
    </w:p>
    <w:p w14:paraId="36350AA7" w14:textId="77777777" w:rsidR="000A5607" w:rsidRPr="000A2300" w:rsidRDefault="000A5607" w:rsidP="00745490">
      <w:pPr>
        <w:pStyle w:val="ListParagraph"/>
        <w:numPr>
          <w:ilvl w:val="1"/>
          <w:numId w:val="8"/>
        </w:numPr>
        <w:spacing w:line="360" w:lineRule="auto"/>
        <w:rPr>
          <w:rFonts w:eastAsia="Times New Roman" w:cstheme="minorHAnsi"/>
          <w:b/>
          <w:color w:val="0E101A"/>
        </w:rPr>
      </w:pPr>
      <w:r w:rsidRPr="00476F6C">
        <w:rPr>
          <w:rFonts w:eastAsia="Times New Roman" w:cstheme="minorHAnsi"/>
          <w:b/>
          <w:color w:val="0E101A"/>
        </w:rPr>
        <w:lastRenderedPageBreak/>
        <w:t>Typology Construction</w:t>
      </w:r>
    </w:p>
    <w:p w14:paraId="2BE677CB" w14:textId="4174A02A" w:rsidR="000A5607" w:rsidRDefault="000A5607" w:rsidP="00745490">
      <w:pPr>
        <w:spacing w:line="360" w:lineRule="auto"/>
        <w:ind w:firstLine="720"/>
        <w:rPr>
          <w:rFonts w:eastAsia="Times New Roman" w:cstheme="minorHAnsi"/>
          <w:color w:val="0E101A"/>
        </w:rPr>
      </w:pPr>
      <w:r w:rsidRPr="000A2300">
        <w:rPr>
          <w:rFonts w:eastAsia="Times New Roman" w:cstheme="minorHAnsi"/>
          <w:color w:val="0E101A"/>
        </w:rPr>
        <w:t xml:space="preserve">For the actor level analysis, typologies were constructed to characterise participants </w:t>
      </w:r>
      <w:r>
        <w:rPr>
          <w:rFonts w:eastAsia="Times New Roman" w:cstheme="minorHAnsi"/>
          <w:color w:val="0E101A"/>
        </w:rPr>
        <w:t>in</w:t>
      </w:r>
      <w:r w:rsidRPr="000A2300">
        <w:rPr>
          <w:rFonts w:eastAsia="Times New Roman" w:cstheme="minorHAnsi"/>
          <w:color w:val="0E101A"/>
        </w:rPr>
        <w:t xml:space="preserve"> the market</w:t>
      </w:r>
      <w:r>
        <w:rPr>
          <w:rFonts w:eastAsia="Times New Roman" w:cstheme="minorHAnsi"/>
          <w:color w:val="0E101A"/>
        </w:rPr>
        <w:t xml:space="preserve">. </w:t>
      </w:r>
      <w:r w:rsidRPr="000A2300">
        <w:rPr>
          <w:rFonts w:eastAsia="Times New Roman" w:cstheme="minorHAnsi"/>
          <w:color w:val="0E101A"/>
        </w:rPr>
        <w:t xml:space="preserve">Typologies refer to the systematic construction of types - which are unique combinations of dimension's attributes that influence the relevant outcome. We used motivations and access as dimensions for constructing the typologies for each of the three main </w:t>
      </w:r>
      <w:r>
        <w:rPr>
          <w:rFonts w:eastAsia="Times New Roman" w:cstheme="minorHAnsi"/>
          <w:color w:val="0E101A"/>
        </w:rPr>
        <w:t>market components</w:t>
      </w:r>
      <w:r w:rsidRPr="000A2300">
        <w:rPr>
          <w:rFonts w:eastAsia="Times New Roman" w:cstheme="minorHAnsi"/>
          <w:color w:val="0E101A"/>
        </w:rPr>
        <w:t xml:space="preserve"> (harvesters, intermediaries, vendors).</w:t>
      </w:r>
    </w:p>
    <w:p w14:paraId="08039209" w14:textId="28D4D6BA" w:rsidR="000A5607" w:rsidRDefault="000A5607" w:rsidP="00745490">
      <w:pPr>
        <w:spacing w:line="360" w:lineRule="auto"/>
        <w:ind w:firstLine="720"/>
        <w:rPr>
          <w:rFonts w:eastAsia="Times New Roman" w:cstheme="minorHAnsi"/>
          <w:color w:val="0E101A"/>
        </w:rPr>
      </w:pPr>
    </w:p>
    <w:p w14:paraId="1A70A5EE" w14:textId="77777777" w:rsidR="000A5607" w:rsidRDefault="000A5607" w:rsidP="00745490">
      <w:pPr>
        <w:spacing w:line="360" w:lineRule="auto"/>
        <w:ind w:left="360" w:firstLine="360"/>
      </w:pPr>
      <w:r>
        <w:t xml:space="preserve">Following </w:t>
      </w:r>
      <w:r>
        <w:fldChar w:fldCharType="begin" w:fldLock="1"/>
      </w:r>
      <w:r>
        <w:instrText>ADDIN CSL_CITATION {"citationItems":[{"id":"ITEM-1","itemData":{"DOI":"10.17169/fqs-1.1.1124","ISSN":"1438-5627","abstract":"In der qualitativen Sozialforschung finden sich nur wenige Ansätze, in denen der Prozeß der Typenbildung detailliert expliziert und systematisiert wird; außerdem werden sehr unterschiedliche Typenbegriffe (wie z.B. Idealtypen, Realtypen, Prototypen, Extremtypen, Strukturtypen etc.) verwendet. Da der Typusbegriff für die qualitative Sozialforschung von zentraler Bedeutung ist, ist eine Klärung des Begriffs sowie des Prozesses der Typenbildung jedoch dringend erforderlich. In dem Beitrag wird daher zunächst eine allgemeine Definition des Typusbegriffs vorgelegt, von der ausgehend Regeln für eine systematische und nachvollziehbare Bildung von Typen und Typologien formuliert werden. URN: urn:nbn:de:0114-fqs0001145","author":[{"dropping-particle":"","family":"Kluge","given":"Susann","non-dropping-particle":"","parse-names":false,"suffix":""}],"container-title":"Forum Qualitative Sozialforschung / Forum: Qualitative Social Research","id":"ITEM-1","issue":"1","issued":{"date-parts":[["2000"]]},"title":"Empirically Grounded Construction of Types and Typologies in Qualitative Social Research","type":"article-journal","volume":"1"},"uris":["http://www.mendeley.com/documents/?uuid=1656d1f6-7be5-461d-ba5b-5986fddc0f25"]}],"mendeley":{"formattedCitation":"(Kluge, 2000)","plainTextFormattedCitation":"(Kluge, 2000)","previouslyFormattedCitation":"(Kluge, 2000)"},"properties":{"noteIndex":0},"schema":"https://github.com/citation-style-language/schema/raw/master/csl-citation.json"}</w:instrText>
      </w:r>
      <w:r>
        <w:fldChar w:fldCharType="separate"/>
      </w:r>
      <w:r w:rsidRPr="00CA6DB0">
        <w:rPr>
          <w:noProof/>
        </w:rPr>
        <w:t>(Kluge, 2000)</w:t>
      </w:r>
      <w:r>
        <w:fldChar w:fldCharType="end"/>
      </w:r>
      <w:r>
        <w:t xml:space="preserve"> we divided the typology construction process into four steps:</w:t>
      </w:r>
    </w:p>
    <w:p w14:paraId="6E9A57B3" w14:textId="77777777" w:rsidR="000A5607" w:rsidRPr="002A7A4F" w:rsidRDefault="000A5607" w:rsidP="00745490">
      <w:pPr>
        <w:pStyle w:val="ListParagraph"/>
        <w:numPr>
          <w:ilvl w:val="0"/>
          <w:numId w:val="7"/>
        </w:numPr>
        <w:spacing w:line="360" w:lineRule="auto"/>
        <w:rPr>
          <w:i/>
          <w:lang w:val="en-US"/>
        </w:rPr>
      </w:pPr>
      <w:r w:rsidRPr="002A7A4F">
        <w:rPr>
          <w:i/>
          <w:lang w:val="en-US"/>
        </w:rPr>
        <w:t>Development of relevant analysis dimensions</w:t>
      </w:r>
    </w:p>
    <w:p w14:paraId="32236FBB" w14:textId="77777777" w:rsidR="000A5607" w:rsidRDefault="000A5607" w:rsidP="00745490">
      <w:pPr>
        <w:spacing w:line="360" w:lineRule="auto"/>
        <w:ind w:left="360" w:firstLine="360"/>
        <w:rPr>
          <w:bCs/>
        </w:rPr>
      </w:pPr>
      <w:r>
        <w:rPr>
          <w:bCs/>
          <w:lang w:val="en-US"/>
        </w:rPr>
        <w:t>Based on our framework’s actor analytical level, we defined</w:t>
      </w:r>
      <w:r w:rsidRPr="000B012C">
        <w:rPr>
          <w:bCs/>
          <w:lang w:val="en-US"/>
        </w:rPr>
        <w:t xml:space="preserve"> </w:t>
      </w:r>
      <w:r>
        <w:rPr>
          <w:bCs/>
          <w:lang w:val="en-US"/>
        </w:rPr>
        <w:t>motivation and access as the analytical dimensions for constructing the typologies.</w:t>
      </w:r>
      <w:r>
        <w:rPr>
          <w:bCs/>
        </w:rPr>
        <w:t xml:space="preserve"> We used three motivation attributes</w:t>
      </w:r>
      <w:r w:rsidRPr="000B012C">
        <w:rPr>
          <w:bCs/>
        </w:rPr>
        <w:t>: instrumental motivations, mixed motivations and non-instrumental motivations</w:t>
      </w:r>
      <w:r>
        <w:rPr>
          <w:bCs/>
        </w:rPr>
        <w:t xml:space="preserve">. We used </w:t>
      </w:r>
      <w:r w:rsidRPr="000B012C">
        <w:rPr>
          <w:bCs/>
        </w:rPr>
        <w:t xml:space="preserve">two </w:t>
      </w:r>
      <w:r>
        <w:rPr>
          <w:bCs/>
        </w:rPr>
        <w:t xml:space="preserve">access </w:t>
      </w:r>
      <w:r w:rsidRPr="000B012C">
        <w:rPr>
          <w:bCs/>
        </w:rPr>
        <w:t xml:space="preserve">attributes: limited/low access and varied/high access </w:t>
      </w:r>
    </w:p>
    <w:p w14:paraId="14821C99" w14:textId="77777777" w:rsidR="000A5607" w:rsidRPr="000B012C" w:rsidRDefault="000A5607" w:rsidP="00745490">
      <w:pPr>
        <w:spacing w:line="360" w:lineRule="auto"/>
        <w:ind w:left="360" w:firstLine="360"/>
        <w:rPr>
          <w:bCs/>
        </w:rPr>
      </w:pPr>
    </w:p>
    <w:p w14:paraId="5E8FCDE1" w14:textId="77777777" w:rsidR="000A5607" w:rsidRPr="002A7A4F" w:rsidRDefault="000A5607" w:rsidP="00745490">
      <w:pPr>
        <w:pStyle w:val="ListParagraph"/>
        <w:numPr>
          <w:ilvl w:val="0"/>
          <w:numId w:val="7"/>
        </w:numPr>
        <w:spacing w:line="360" w:lineRule="auto"/>
        <w:rPr>
          <w:i/>
        </w:rPr>
      </w:pPr>
      <w:r w:rsidRPr="002A7A4F">
        <w:rPr>
          <w:i/>
          <w:lang w:val="en-US"/>
        </w:rPr>
        <w:t>Grouping the cases and analysis of empirical regularities</w:t>
      </w:r>
    </w:p>
    <w:p w14:paraId="4DDA28B3" w14:textId="77777777" w:rsidR="000A5607" w:rsidRDefault="000A5607" w:rsidP="00745490">
      <w:pPr>
        <w:spacing w:line="360" w:lineRule="auto"/>
        <w:ind w:firstLine="720"/>
      </w:pPr>
      <w:r>
        <w:t xml:space="preserve">From the results of the key-informant survey, we were able to group actors into empirical regularities (Supplementary Table 1). This process allowed to identify which combination of dimensions’ attributes were present and absent in the actors of the case study. Moreover, this step confirmed that the dimensions and attributes selected contained sufficient heterogeneity, which is necessary for creating types. </w:t>
      </w:r>
    </w:p>
    <w:p w14:paraId="45582D73" w14:textId="77777777" w:rsidR="000A5607" w:rsidRDefault="000A5607" w:rsidP="00745490">
      <w:pPr>
        <w:spacing w:line="360" w:lineRule="auto"/>
        <w:ind w:firstLine="720"/>
      </w:pPr>
    </w:p>
    <w:p w14:paraId="62D4671F" w14:textId="77777777" w:rsidR="000A5607" w:rsidRPr="009B631F" w:rsidRDefault="000A5607" w:rsidP="00745490">
      <w:pPr>
        <w:spacing w:line="360" w:lineRule="auto"/>
      </w:pPr>
      <w:r w:rsidRPr="004F4C19">
        <w:rPr>
          <w:b/>
        </w:rPr>
        <w:t>Supplementary Table 1</w:t>
      </w:r>
      <w:r>
        <w:t>. Analysis of empirical regularities (present/absent) to construct typologies at the actor-level analysis.</w:t>
      </w:r>
    </w:p>
    <w:tbl>
      <w:tblPr>
        <w:tblW w:w="9723" w:type="dxa"/>
        <w:tblBorders>
          <w:top w:val="single" w:sz="4" w:space="0" w:color="auto"/>
          <w:bottom w:val="single" w:sz="4" w:space="0" w:color="auto"/>
        </w:tblBorders>
        <w:tblCellMar>
          <w:left w:w="0" w:type="dxa"/>
          <w:right w:w="0" w:type="dxa"/>
        </w:tblCellMar>
        <w:tblLook w:val="0420" w:firstRow="1" w:lastRow="0" w:firstColumn="0" w:lastColumn="0" w:noHBand="0" w:noVBand="1"/>
      </w:tblPr>
      <w:tblGrid>
        <w:gridCol w:w="2043"/>
        <w:gridCol w:w="2106"/>
        <w:gridCol w:w="1732"/>
        <w:gridCol w:w="1777"/>
        <w:gridCol w:w="2065"/>
      </w:tblGrid>
      <w:tr w:rsidR="000A5607" w:rsidRPr="00D2352C" w14:paraId="24300ECB" w14:textId="77777777" w:rsidTr="00EE63FB">
        <w:trPr>
          <w:trHeight w:val="49"/>
        </w:trPr>
        <w:tc>
          <w:tcPr>
            <w:tcW w:w="2043" w:type="dxa"/>
            <w:tcBorders>
              <w:top w:val="single" w:sz="4" w:space="0" w:color="auto"/>
              <w:bottom w:val="single" w:sz="4" w:space="0" w:color="auto"/>
            </w:tcBorders>
            <w:shd w:val="clear" w:color="auto" w:fill="auto"/>
            <w:tcMar>
              <w:top w:w="72" w:type="dxa"/>
              <w:left w:w="144" w:type="dxa"/>
              <w:bottom w:w="72" w:type="dxa"/>
              <w:right w:w="144" w:type="dxa"/>
            </w:tcMar>
            <w:hideMark/>
          </w:tcPr>
          <w:p w14:paraId="09850202" w14:textId="77777777" w:rsidR="000A5607" w:rsidRPr="00D2352C" w:rsidRDefault="000A5607" w:rsidP="00745490">
            <w:pPr>
              <w:spacing w:line="360" w:lineRule="auto"/>
            </w:pPr>
          </w:p>
        </w:tc>
        <w:tc>
          <w:tcPr>
            <w:tcW w:w="5615" w:type="dxa"/>
            <w:gridSpan w:val="3"/>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4EAAAFDD" w14:textId="77777777" w:rsidR="000A5607" w:rsidRPr="00D2352C" w:rsidRDefault="000A5607" w:rsidP="00745490">
            <w:pPr>
              <w:spacing w:line="360" w:lineRule="auto"/>
              <w:jc w:val="center"/>
            </w:pPr>
            <w:r>
              <w:rPr>
                <w:b/>
                <w:bCs/>
                <w:lang w:val="en-US"/>
              </w:rPr>
              <w:t xml:space="preserve">      </w:t>
            </w:r>
            <w:r w:rsidRPr="00D2352C">
              <w:rPr>
                <w:b/>
                <w:bCs/>
                <w:lang w:val="en-US"/>
              </w:rPr>
              <w:t>Motivation</w:t>
            </w:r>
          </w:p>
        </w:tc>
        <w:tc>
          <w:tcPr>
            <w:tcW w:w="2065"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0529806A" w14:textId="77777777" w:rsidR="000A5607" w:rsidRPr="00D2352C" w:rsidRDefault="000A5607" w:rsidP="00745490">
            <w:pPr>
              <w:spacing w:line="360" w:lineRule="auto"/>
              <w:jc w:val="center"/>
            </w:pPr>
            <w:r w:rsidRPr="00D2352C">
              <w:rPr>
                <w:b/>
                <w:bCs/>
                <w:lang w:val="en-US"/>
              </w:rPr>
              <w:t>Type of Access</w:t>
            </w:r>
          </w:p>
        </w:tc>
      </w:tr>
      <w:tr w:rsidR="000A5607" w:rsidRPr="00D2352C" w14:paraId="5A85DF07" w14:textId="77777777" w:rsidTr="00EE63FB">
        <w:trPr>
          <w:trHeight w:val="305"/>
        </w:trPr>
        <w:tc>
          <w:tcPr>
            <w:tcW w:w="2043" w:type="dxa"/>
            <w:tcBorders>
              <w:top w:val="single" w:sz="4" w:space="0" w:color="auto"/>
              <w:bottom w:val="single" w:sz="4" w:space="0" w:color="auto"/>
            </w:tcBorders>
            <w:shd w:val="clear" w:color="auto" w:fill="E7E7E7"/>
            <w:tcMar>
              <w:top w:w="72" w:type="dxa"/>
              <w:left w:w="144" w:type="dxa"/>
              <w:bottom w:w="72" w:type="dxa"/>
              <w:right w:w="144" w:type="dxa"/>
            </w:tcMar>
            <w:vAlign w:val="center"/>
            <w:hideMark/>
          </w:tcPr>
          <w:p w14:paraId="62B442A2" w14:textId="77777777" w:rsidR="000A5607" w:rsidRPr="00D2352C" w:rsidRDefault="000A5607" w:rsidP="00745490">
            <w:pPr>
              <w:spacing w:line="360" w:lineRule="auto"/>
              <w:jc w:val="center"/>
            </w:pPr>
            <w:r w:rsidRPr="00D2352C">
              <w:rPr>
                <w:lang w:val="en-US"/>
              </w:rPr>
              <w:t>Sector</w:t>
            </w:r>
          </w:p>
        </w:tc>
        <w:tc>
          <w:tcPr>
            <w:tcW w:w="2106" w:type="dxa"/>
            <w:tcBorders>
              <w:top w:val="single" w:sz="4" w:space="0" w:color="auto"/>
              <w:bottom w:val="single" w:sz="4" w:space="0" w:color="auto"/>
            </w:tcBorders>
            <w:shd w:val="clear" w:color="auto" w:fill="E7E7E7"/>
            <w:tcMar>
              <w:top w:w="72" w:type="dxa"/>
              <w:left w:w="144" w:type="dxa"/>
              <w:bottom w:w="72" w:type="dxa"/>
              <w:right w:w="144" w:type="dxa"/>
            </w:tcMar>
            <w:vAlign w:val="center"/>
            <w:hideMark/>
          </w:tcPr>
          <w:p w14:paraId="386D263B" w14:textId="77777777" w:rsidR="000A5607" w:rsidRPr="00D2352C" w:rsidRDefault="000A5607" w:rsidP="00745490">
            <w:pPr>
              <w:spacing w:line="360" w:lineRule="auto"/>
              <w:jc w:val="center"/>
            </w:pPr>
            <w:r w:rsidRPr="00D2352C">
              <w:rPr>
                <w:lang w:val="en-US"/>
              </w:rPr>
              <w:t>Only Instrumental</w:t>
            </w:r>
          </w:p>
        </w:tc>
        <w:tc>
          <w:tcPr>
            <w:tcW w:w="1732" w:type="dxa"/>
            <w:tcBorders>
              <w:top w:val="single" w:sz="4" w:space="0" w:color="auto"/>
              <w:bottom w:val="single" w:sz="4" w:space="0" w:color="auto"/>
            </w:tcBorders>
            <w:shd w:val="clear" w:color="auto" w:fill="E7E7E7"/>
            <w:tcMar>
              <w:top w:w="72" w:type="dxa"/>
              <w:left w:w="144" w:type="dxa"/>
              <w:bottom w:w="72" w:type="dxa"/>
              <w:right w:w="144" w:type="dxa"/>
            </w:tcMar>
            <w:vAlign w:val="center"/>
            <w:hideMark/>
          </w:tcPr>
          <w:p w14:paraId="4E60760E" w14:textId="77777777" w:rsidR="000A5607" w:rsidRPr="00D2352C" w:rsidRDefault="000A5607" w:rsidP="00745490">
            <w:pPr>
              <w:spacing w:line="360" w:lineRule="auto"/>
              <w:jc w:val="center"/>
            </w:pPr>
            <w:r w:rsidRPr="00D2352C">
              <w:rPr>
                <w:lang w:val="en-US"/>
              </w:rPr>
              <w:t>Mixed</w:t>
            </w:r>
          </w:p>
        </w:tc>
        <w:tc>
          <w:tcPr>
            <w:tcW w:w="1775" w:type="dxa"/>
            <w:tcBorders>
              <w:top w:val="single" w:sz="4" w:space="0" w:color="auto"/>
              <w:bottom w:val="single" w:sz="4" w:space="0" w:color="auto"/>
            </w:tcBorders>
            <w:shd w:val="clear" w:color="auto" w:fill="E7E7E7"/>
            <w:tcMar>
              <w:top w:w="72" w:type="dxa"/>
              <w:left w:w="144" w:type="dxa"/>
              <w:bottom w:w="72" w:type="dxa"/>
              <w:right w:w="144" w:type="dxa"/>
            </w:tcMar>
            <w:vAlign w:val="center"/>
            <w:hideMark/>
          </w:tcPr>
          <w:p w14:paraId="659DE202" w14:textId="77777777" w:rsidR="000A5607" w:rsidRPr="00D2352C" w:rsidRDefault="000A5607" w:rsidP="00745490">
            <w:pPr>
              <w:spacing w:line="360" w:lineRule="auto"/>
              <w:jc w:val="center"/>
            </w:pPr>
            <w:r w:rsidRPr="00D2352C">
              <w:rPr>
                <w:lang w:val="en-US"/>
              </w:rPr>
              <w:t>Non-instrumental</w:t>
            </w:r>
          </w:p>
        </w:tc>
        <w:tc>
          <w:tcPr>
            <w:tcW w:w="2065" w:type="dxa"/>
            <w:tcBorders>
              <w:top w:val="single" w:sz="4" w:space="0" w:color="auto"/>
              <w:bottom w:val="single" w:sz="4" w:space="0" w:color="auto"/>
            </w:tcBorders>
            <w:shd w:val="clear" w:color="auto" w:fill="E7E7E7"/>
            <w:tcMar>
              <w:top w:w="72" w:type="dxa"/>
              <w:left w:w="144" w:type="dxa"/>
              <w:bottom w:w="72" w:type="dxa"/>
              <w:right w:w="144" w:type="dxa"/>
            </w:tcMar>
            <w:hideMark/>
          </w:tcPr>
          <w:p w14:paraId="74F44848" w14:textId="77777777" w:rsidR="000A5607" w:rsidRPr="00D2352C" w:rsidRDefault="000A5607" w:rsidP="00745490">
            <w:pPr>
              <w:spacing w:line="360" w:lineRule="auto"/>
            </w:pPr>
          </w:p>
        </w:tc>
      </w:tr>
      <w:tr w:rsidR="000A5607" w:rsidRPr="00D2352C" w14:paraId="4F20CE07" w14:textId="77777777" w:rsidTr="00EE63FB">
        <w:trPr>
          <w:trHeight w:val="244"/>
        </w:trPr>
        <w:tc>
          <w:tcPr>
            <w:tcW w:w="2043" w:type="dxa"/>
            <w:vMerge w:val="restart"/>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5CC9E689" w14:textId="77777777" w:rsidR="000A5607" w:rsidRPr="00D2352C" w:rsidRDefault="000A5607" w:rsidP="00745490">
            <w:pPr>
              <w:spacing w:line="360" w:lineRule="auto"/>
            </w:pPr>
            <w:r w:rsidRPr="00D2352C">
              <w:rPr>
                <w:lang w:val="en-US"/>
              </w:rPr>
              <w:t>Harvester</w:t>
            </w:r>
          </w:p>
        </w:tc>
        <w:tc>
          <w:tcPr>
            <w:tcW w:w="2106" w:type="dxa"/>
            <w:tcBorders>
              <w:top w:val="single" w:sz="4" w:space="0" w:color="auto"/>
              <w:bottom w:val="nil"/>
            </w:tcBorders>
            <w:shd w:val="clear" w:color="auto" w:fill="auto"/>
            <w:tcMar>
              <w:top w:w="72" w:type="dxa"/>
              <w:left w:w="144" w:type="dxa"/>
              <w:bottom w:w="72" w:type="dxa"/>
              <w:right w:w="144" w:type="dxa"/>
            </w:tcMar>
            <w:vAlign w:val="center"/>
            <w:hideMark/>
          </w:tcPr>
          <w:p w14:paraId="489DEB30" w14:textId="77777777" w:rsidR="000A5607" w:rsidRPr="005B7D8D" w:rsidRDefault="000A5607" w:rsidP="00745490">
            <w:pPr>
              <w:spacing w:line="360" w:lineRule="auto"/>
              <w:jc w:val="center"/>
              <w:rPr>
                <w:i/>
                <w:sz w:val="22"/>
              </w:rPr>
            </w:pPr>
            <w:r w:rsidRPr="005B7D8D">
              <w:rPr>
                <w:i/>
                <w:sz w:val="22"/>
                <w:lang w:val="en-US"/>
              </w:rPr>
              <w:t>Absent</w:t>
            </w:r>
          </w:p>
        </w:tc>
        <w:tc>
          <w:tcPr>
            <w:tcW w:w="1732" w:type="dxa"/>
            <w:tcBorders>
              <w:top w:val="single" w:sz="4" w:space="0" w:color="auto"/>
              <w:bottom w:val="nil"/>
            </w:tcBorders>
            <w:shd w:val="clear" w:color="auto" w:fill="auto"/>
            <w:tcMar>
              <w:top w:w="72" w:type="dxa"/>
              <w:left w:w="144" w:type="dxa"/>
              <w:bottom w:w="72" w:type="dxa"/>
              <w:right w:w="144" w:type="dxa"/>
            </w:tcMar>
            <w:vAlign w:val="center"/>
            <w:hideMark/>
          </w:tcPr>
          <w:p w14:paraId="6D546CF9" w14:textId="77777777" w:rsidR="000A5607" w:rsidRPr="005B7D8D" w:rsidRDefault="000A5607" w:rsidP="00745490">
            <w:pPr>
              <w:spacing w:line="360" w:lineRule="auto"/>
              <w:jc w:val="center"/>
              <w:rPr>
                <w:i/>
                <w:sz w:val="22"/>
              </w:rPr>
            </w:pPr>
            <w:r w:rsidRPr="005B7D8D">
              <w:rPr>
                <w:i/>
                <w:sz w:val="22"/>
                <w:lang w:val="en-US"/>
              </w:rPr>
              <w:t>Present</w:t>
            </w:r>
          </w:p>
        </w:tc>
        <w:tc>
          <w:tcPr>
            <w:tcW w:w="1775" w:type="dxa"/>
            <w:tcBorders>
              <w:top w:val="single" w:sz="4" w:space="0" w:color="auto"/>
              <w:bottom w:val="nil"/>
            </w:tcBorders>
            <w:shd w:val="clear" w:color="auto" w:fill="auto"/>
            <w:tcMar>
              <w:top w:w="72" w:type="dxa"/>
              <w:left w:w="144" w:type="dxa"/>
              <w:bottom w:w="72" w:type="dxa"/>
              <w:right w:w="144" w:type="dxa"/>
            </w:tcMar>
            <w:vAlign w:val="center"/>
            <w:hideMark/>
          </w:tcPr>
          <w:p w14:paraId="5AE572CF" w14:textId="77777777" w:rsidR="000A5607" w:rsidRPr="005B7D8D" w:rsidRDefault="000A5607" w:rsidP="00745490">
            <w:pPr>
              <w:spacing w:line="360" w:lineRule="auto"/>
              <w:jc w:val="center"/>
              <w:rPr>
                <w:i/>
                <w:sz w:val="22"/>
              </w:rPr>
            </w:pPr>
            <w:r w:rsidRPr="005B7D8D">
              <w:rPr>
                <w:i/>
                <w:sz w:val="22"/>
                <w:lang w:val="en-US"/>
              </w:rPr>
              <w:t>Absent</w:t>
            </w:r>
          </w:p>
        </w:tc>
        <w:tc>
          <w:tcPr>
            <w:tcW w:w="2065" w:type="dxa"/>
            <w:tcBorders>
              <w:top w:val="single" w:sz="4" w:space="0" w:color="auto"/>
              <w:bottom w:val="nil"/>
            </w:tcBorders>
            <w:shd w:val="clear" w:color="auto" w:fill="auto"/>
            <w:tcMar>
              <w:top w:w="72" w:type="dxa"/>
              <w:left w:w="144" w:type="dxa"/>
              <w:bottom w:w="72" w:type="dxa"/>
              <w:right w:w="144" w:type="dxa"/>
            </w:tcMar>
            <w:vAlign w:val="center"/>
            <w:hideMark/>
          </w:tcPr>
          <w:p w14:paraId="2F724DD6" w14:textId="77777777" w:rsidR="000A5607" w:rsidRPr="00A251A1" w:rsidRDefault="000A5607" w:rsidP="00745490">
            <w:pPr>
              <w:spacing w:line="360" w:lineRule="auto"/>
              <w:jc w:val="center"/>
              <w:rPr>
                <w:sz w:val="22"/>
              </w:rPr>
            </w:pPr>
            <w:r w:rsidRPr="00A251A1">
              <w:rPr>
                <w:sz w:val="22"/>
                <w:lang w:val="en-US"/>
              </w:rPr>
              <w:t>Limited/</w:t>
            </w:r>
            <w:r>
              <w:rPr>
                <w:sz w:val="22"/>
                <w:lang w:val="en-US"/>
              </w:rPr>
              <w:t>l</w:t>
            </w:r>
            <w:r w:rsidRPr="00A251A1">
              <w:rPr>
                <w:sz w:val="22"/>
                <w:lang w:val="en-US"/>
              </w:rPr>
              <w:t>ow Access</w:t>
            </w:r>
          </w:p>
        </w:tc>
      </w:tr>
      <w:tr w:rsidR="000A5607" w:rsidRPr="00D2352C" w14:paraId="65C57C4E" w14:textId="77777777" w:rsidTr="00EE63FB">
        <w:trPr>
          <w:trHeight w:val="313"/>
        </w:trPr>
        <w:tc>
          <w:tcPr>
            <w:tcW w:w="0" w:type="auto"/>
            <w:vMerge/>
            <w:tcBorders>
              <w:top w:val="nil"/>
              <w:bottom w:val="single" w:sz="4" w:space="0" w:color="auto"/>
            </w:tcBorders>
            <w:vAlign w:val="center"/>
            <w:hideMark/>
          </w:tcPr>
          <w:p w14:paraId="388CC0BB" w14:textId="77777777" w:rsidR="000A5607" w:rsidRPr="00D2352C" w:rsidRDefault="000A5607" w:rsidP="00745490">
            <w:pPr>
              <w:spacing w:line="360" w:lineRule="auto"/>
            </w:pPr>
          </w:p>
        </w:tc>
        <w:tc>
          <w:tcPr>
            <w:tcW w:w="2106" w:type="dxa"/>
            <w:tcBorders>
              <w:top w:val="nil"/>
              <w:bottom w:val="single" w:sz="4" w:space="0" w:color="auto"/>
            </w:tcBorders>
            <w:shd w:val="clear" w:color="auto" w:fill="E7E7E7"/>
            <w:tcMar>
              <w:top w:w="72" w:type="dxa"/>
              <w:left w:w="144" w:type="dxa"/>
              <w:bottom w:w="72" w:type="dxa"/>
              <w:right w:w="144" w:type="dxa"/>
            </w:tcMar>
            <w:vAlign w:val="center"/>
            <w:hideMark/>
          </w:tcPr>
          <w:p w14:paraId="0ACA85C7" w14:textId="77777777" w:rsidR="000A5607" w:rsidRPr="005B7D8D" w:rsidRDefault="000A5607" w:rsidP="00745490">
            <w:pPr>
              <w:spacing w:line="360" w:lineRule="auto"/>
              <w:jc w:val="center"/>
              <w:rPr>
                <w:i/>
                <w:sz w:val="22"/>
              </w:rPr>
            </w:pPr>
            <w:r w:rsidRPr="005B7D8D">
              <w:rPr>
                <w:i/>
                <w:sz w:val="22"/>
                <w:lang w:val="en-US"/>
              </w:rPr>
              <w:t>Absent</w:t>
            </w:r>
          </w:p>
        </w:tc>
        <w:tc>
          <w:tcPr>
            <w:tcW w:w="1732" w:type="dxa"/>
            <w:tcBorders>
              <w:top w:val="nil"/>
              <w:bottom w:val="single" w:sz="4" w:space="0" w:color="auto"/>
            </w:tcBorders>
            <w:shd w:val="clear" w:color="auto" w:fill="E7E7E7"/>
            <w:tcMar>
              <w:top w:w="72" w:type="dxa"/>
              <w:left w:w="144" w:type="dxa"/>
              <w:bottom w:w="72" w:type="dxa"/>
              <w:right w:w="144" w:type="dxa"/>
            </w:tcMar>
            <w:vAlign w:val="center"/>
            <w:hideMark/>
          </w:tcPr>
          <w:p w14:paraId="167ACD7B" w14:textId="77777777" w:rsidR="000A5607" w:rsidRPr="005B7D8D" w:rsidRDefault="000A5607" w:rsidP="00745490">
            <w:pPr>
              <w:spacing w:line="360" w:lineRule="auto"/>
              <w:jc w:val="center"/>
              <w:rPr>
                <w:i/>
                <w:sz w:val="22"/>
              </w:rPr>
            </w:pPr>
            <w:r w:rsidRPr="005B7D8D">
              <w:rPr>
                <w:i/>
                <w:sz w:val="22"/>
                <w:lang w:val="en-US"/>
              </w:rPr>
              <w:t>Present</w:t>
            </w:r>
          </w:p>
        </w:tc>
        <w:tc>
          <w:tcPr>
            <w:tcW w:w="1775" w:type="dxa"/>
            <w:tcBorders>
              <w:top w:val="nil"/>
              <w:bottom w:val="single" w:sz="4" w:space="0" w:color="auto"/>
            </w:tcBorders>
            <w:shd w:val="clear" w:color="auto" w:fill="E7E7E7"/>
            <w:tcMar>
              <w:top w:w="72" w:type="dxa"/>
              <w:left w:w="144" w:type="dxa"/>
              <w:bottom w:w="72" w:type="dxa"/>
              <w:right w:w="144" w:type="dxa"/>
            </w:tcMar>
            <w:vAlign w:val="center"/>
            <w:hideMark/>
          </w:tcPr>
          <w:p w14:paraId="0029A547" w14:textId="77777777" w:rsidR="000A5607" w:rsidRPr="005B7D8D" w:rsidRDefault="000A5607" w:rsidP="00745490">
            <w:pPr>
              <w:spacing w:line="360" w:lineRule="auto"/>
              <w:jc w:val="center"/>
              <w:rPr>
                <w:i/>
                <w:sz w:val="22"/>
              </w:rPr>
            </w:pPr>
            <w:r w:rsidRPr="005B7D8D">
              <w:rPr>
                <w:i/>
                <w:sz w:val="22"/>
                <w:lang w:val="en-US"/>
              </w:rPr>
              <w:t>Absent</w:t>
            </w:r>
          </w:p>
        </w:tc>
        <w:tc>
          <w:tcPr>
            <w:tcW w:w="2065" w:type="dxa"/>
            <w:tcBorders>
              <w:top w:val="nil"/>
              <w:bottom w:val="single" w:sz="4" w:space="0" w:color="auto"/>
            </w:tcBorders>
            <w:shd w:val="clear" w:color="auto" w:fill="E7E7E7"/>
            <w:tcMar>
              <w:top w:w="72" w:type="dxa"/>
              <w:left w:w="144" w:type="dxa"/>
              <w:bottom w:w="72" w:type="dxa"/>
              <w:right w:w="144" w:type="dxa"/>
            </w:tcMar>
            <w:vAlign w:val="center"/>
            <w:hideMark/>
          </w:tcPr>
          <w:p w14:paraId="58B6541B" w14:textId="77777777" w:rsidR="000A5607" w:rsidRPr="00A251A1" w:rsidRDefault="000A5607" w:rsidP="00745490">
            <w:pPr>
              <w:spacing w:line="360" w:lineRule="auto"/>
              <w:jc w:val="center"/>
              <w:rPr>
                <w:sz w:val="22"/>
              </w:rPr>
            </w:pPr>
            <w:r w:rsidRPr="00A251A1">
              <w:rPr>
                <w:sz w:val="22"/>
                <w:lang w:val="en-US"/>
              </w:rPr>
              <w:t>Varied/high access</w:t>
            </w:r>
          </w:p>
        </w:tc>
      </w:tr>
      <w:tr w:rsidR="000A5607" w:rsidRPr="00D2352C" w14:paraId="31104DF4" w14:textId="77777777" w:rsidTr="00EE63FB">
        <w:trPr>
          <w:trHeight w:val="520"/>
        </w:trPr>
        <w:tc>
          <w:tcPr>
            <w:tcW w:w="2043" w:type="dxa"/>
            <w:vMerge w:val="restart"/>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643EA529" w14:textId="77777777" w:rsidR="000A5607" w:rsidRPr="00D2352C" w:rsidRDefault="000A5607" w:rsidP="00745490">
            <w:pPr>
              <w:spacing w:line="360" w:lineRule="auto"/>
            </w:pPr>
            <w:r w:rsidRPr="00D2352C">
              <w:rPr>
                <w:lang w:val="en-US"/>
              </w:rPr>
              <w:t>Intermediaries</w:t>
            </w:r>
          </w:p>
        </w:tc>
        <w:tc>
          <w:tcPr>
            <w:tcW w:w="2106" w:type="dxa"/>
            <w:tcBorders>
              <w:top w:val="single" w:sz="4" w:space="0" w:color="auto"/>
              <w:bottom w:val="nil"/>
            </w:tcBorders>
            <w:shd w:val="clear" w:color="auto" w:fill="auto"/>
            <w:tcMar>
              <w:top w:w="72" w:type="dxa"/>
              <w:left w:w="144" w:type="dxa"/>
              <w:bottom w:w="72" w:type="dxa"/>
              <w:right w:w="144" w:type="dxa"/>
            </w:tcMar>
            <w:vAlign w:val="center"/>
            <w:hideMark/>
          </w:tcPr>
          <w:p w14:paraId="5252F427" w14:textId="77777777" w:rsidR="000A5607" w:rsidRPr="005B7D8D" w:rsidRDefault="000A5607" w:rsidP="00745490">
            <w:pPr>
              <w:spacing w:line="360" w:lineRule="auto"/>
              <w:jc w:val="center"/>
              <w:rPr>
                <w:i/>
                <w:sz w:val="22"/>
              </w:rPr>
            </w:pPr>
            <w:r w:rsidRPr="005B7D8D">
              <w:rPr>
                <w:i/>
                <w:sz w:val="22"/>
                <w:lang w:val="en-US"/>
              </w:rPr>
              <w:t>Present</w:t>
            </w:r>
          </w:p>
        </w:tc>
        <w:tc>
          <w:tcPr>
            <w:tcW w:w="1732" w:type="dxa"/>
            <w:tcBorders>
              <w:top w:val="single" w:sz="4" w:space="0" w:color="auto"/>
              <w:bottom w:val="nil"/>
            </w:tcBorders>
            <w:shd w:val="clear" w:color="auto" w:fill="auto"/>
            <w:tcMar>
              <w:top w:w="72" w:type="dxa"/>
              <w:left w:w="144" w:type="dxa"/>
              <w:bottom w:w="72" w:type="dxa"/>
              <w:right w:w="144" w:type="dxa"/>
            </w:tcMar>
            <w:vAlign w:val="center"/>
            <w:hideMark/>
          </w:tcPr>
          <w:p w14:paraId="536D6956" w14:textId="77777777" w:rsidR="000A5607" w:rsidRPr="005B7D8D" w:rsidRDefault="000A5607" w:rsidP="00745490">
            <w:pPr>
              <w:spacing w:line="360" w:lineRule="auto"/>
              <w:jc w:val="center"/>
              <w:rPr>
                <w:i/>
                <w:sz w:val="22"/>
              </w:rPr>
            </w:pPr>
            <w:r w:rsidRPr="005B7D8D">
              <w:rPr>
                <w:i/>
                <w:sz w:val="22"/>
                <w:lang w:val="en-US"/>
              </w:rPr>
              <w:t>Absent</w:t>
            </w:r>
          </w:p>
        </w:tc>
        <w:tc>
          <w:tcPr>
            <w:tcW w:w="1775" w:type="dxa"/>
            <w:tcBorders>
              <w:top w:val="single" w:sz="4" w:space="0" w:color="auto"/>
              <w:bottom w:val="nil"/>
            </w:tcBorders>
            <w:shd w:val="clear" w:color="auto" w:fill="auto"/>
            <w:tcMar>
              <w:top w:w="72" w:type="dxa"/>
              <w:left w:w="144" w:type="dxa"/>
              <w:bottom w:w="72" w:type="dxa"/>
              <w:right w:w="144" w:type="dxa"/>
            </w:tcMar>
            <w:vAlign w:val="center"/>
            <w:hideMark/>
          </w:tcPr>
          <w:p w14:paraId="276EFB09" w14:textId="77777777" w:rsidR="000A5607" w:rsidRPr="005B7D8D" w:rsidRDefault="000A5607" w:rsidP="00745490">
            <w:pPr>
              <w:spacing w:line="360" w:lineRule="auto"/>
              <w:jc w:val="center"/>
              <w:rPr>
                <w:i/>
                <w:sz w:val="22"/>
              </w:rPr>
            </w:pPr>
            <w:r w:rsidRPr="005B7D8D">
              <w:rPr>
                <w:i/>
                <w:sz w:val="22"/>
                <w:lang w:val="en-US"/>
              </w:rPr>
              <w:t>Absent</w:t>
            </w:r>
          </w:p>
        </w:tc>
        <w:tc>
          <w:tcPr>
            <w:tcW w:w="2065" w:type="dxa"/>
            <w:tcBorders>
              <w:top w:val="single" w:sz="4" w:space="0" w:color="auto"/>
              <w:bottom w:val="nil"/>
            </w:tcBorders>
            <w:shd w:val="clear" w:color="auto" w:fill="auto"/>
            <w:tcMar>
              <w:top w:w="72" w:type="dxa"/>
              <w:left w:w="144" w:type="dxa"/>
              <w:bottom w:w="72" w:type="dxa"/>
              <w:right w:w="144" w:type="dxa"/>
            </w:tcMar>
            <w:vAlign w:val="center"/>
            <w:hideMark/>
          </w:tcPr>
          <w:p w14:paraId="67A1463C" w14:textId="77777777" w:rsidR="000A5607" w:rsidRPr="00A251A1" w:rsidRDefault="000A5607" w:rsidP="00745490">
            <w:pPr>
              <w:spacing w:line="360" w:lineRule="auto"/>
              <w:jc w:val="center"/>
              <w:rPr>
                <w:sz w:val="22"/>
              </w:rPr>
            </w:pPr>
            <w:r w:rsidRPr="00A251A1">
              <w:rPr>
                <w:sz w:val="22"/>
                <w:lang w:val="en-US"/>
              </w:rPr>
              <w:t>Limited/</w:t>
            </w:r>
            <w:r>
              <w:rPr>
                <w:sz w:val="22"/>
                <w:lang w:val="en-US"/>
              </w:rPr>
              <w:t>l</w:t>
            </w:r>
            <w:r w:rsidRPr="00A251A1">
              <w:rPr>
                <w:sz w:val="22"/>
                <w:lang w:val="en-US"/>
              </w:rPr>
              <w:t>ow Access</w:t>
            </w:r>
          </w:p>
        </w:tc>
      </w:tr>
      <w:tr w:rsidR="000A5607" w:rsidRPr="00D2352C" w14:paraId="1EB2560D" w14:textId="77777777" w:rsidTr="00EE63FB">
        <w:trPr>
          <w:trHeight w:val="125"/>
        </w:trPr>
        <w:tc>
          <w:tcPr>
            <w:tcW w:w="0" w:type="auto"/>
            <w:vMerge/>
            <w:tcBorders>
              <w:top w:val="nil"/>
              <w:bottom w:val="single" w:sz="4" w:space="0" w:color="auto"/>
            </w:tcBorders>
            <w:vAlign w:val="center"/>
            <w:hideMark/>
          </w:tcPr>
          <w:p w14:paraId="598B6188" w14:textId="77777777" w:rsidR="000A5607" w:rsidRPr="00D2352C" w:rsidRDefault="000A5607" w:rsidP="00745490">
            <w:pPr>
              <w:spacing w:line="360" w:lineRule="auto"/>
            </w:pPr>
          </w:p>
        </w:tc>
        <w:tc>
          <w:tcPr>
            <w:tcW w:w="2106" w:type="dxa"/>
            <w:tcBorders>
              <w:top w:val="nil"/>
              <w:bottom w:val="single" w:sz="4" w:space="0" w:color="auto"/>
            </w:tcBorders>
            <w:shd w:val="clear" w:color="auto" w:fill="E7E7E7"/>
            <w:tcMar>
              <w:top w:w="72" w:type="dxa"/>
              <w:left w:w="144" w:type="dxa"/>
              <w:bottom w:w="72" w:type="dxa"/>
              <w:right w:w="144" w:type="dxa"/>
            </w:tcMar>
            <w:vAlign w:val="center"/>
            <w:hideMark/>
          </w:tcPr>
          <w:p w14:paraId="53297AB8" w14:textId="77777777" w:rsidR="000A5607" w:rsidRPr="005B7D8D" w:rsidRDefault="000A5607" w:rsidP="00745490">
            <w:pPr>
              <w:spacing w:line="360" w:lineRule="auto"/>
              <w:jc w:val="center"/>
              <w:rPr>
                <w:i/>
                <w:sz w:val="22"/>
              </w:rPr>
            </w:pPr>
            <w:r w:rsidRPr="005B7D8D">
              <w:rPr>
                <w:i/>
                <w:sz w:val="22"/>
                <w:lang w:val="en-US"/>
              </w:rPr>
              <w:t>Present</w:t>
            </w:r>
          </w:p>
        </w:tc>
        <w:tc>
          <w:tcPr>
            <w:tcW w:w="1732" w:type="dxa"/>
            <w:tcBorders>
              <w:top w:val="nil"/>
              <w:bottom w:val="single" w:sz="4" w:space="0" w:color="auto"/>
            </w:tcBorders>
            <w:shd w:val="clear" w:color="auto" w:fill="E7E7E7"/>
            <w:tcMar>
              <w:top w:w="72" w:type="dxa"/>
              <w:left w:w="144" w:type="dxa"/>
              <w:bottom w:w="72" w:type="dxa"/>
              <w:right w:w="144" w:type="dxa"/>
            </w:tcMar>
            <w:vAlign w:val="center"/>
            <w:hideMark/>
          </w:tcPr>
          <w:p w14:paraId="7955B64A" w14:textId="77777777" w:rsidR="000A5607" w:rsidRPr="005B7D8D" w:rsidRDefault="000A5607" w:rsidP="00745490">
            <w:pPr>
              <w:spacing w:line="360" w:lineRule="auto"/>
              <w:jc w:val="center"/>
              <w:rPr>
                <w:i/>
                <w:sz w:val="22"/>
              </w:rPr>
            </w:pPr>
            <w:r w:rsidRPr="005B7D8D">
              <w:rPr>
                <w:i/>
                <w:sz w:val="22"/>
                <w:lang w:val="en-US"/>
              </w:rPr>
              <w:t>Absent</w:t>
            </w:r>
          </w:p>
        </w:tc>
        <w:tc>
          <w:tcPr>
            <w:tcW w:w="1775" w:type="dxa"/>
            <w:tcBorders>
              <w:top w:val="nil"/>
              <w:bottom w:val="single" w:sz="4" w:space="0" w:color="auto"/>
            </w:tcBorders>
            <w:shd w:val="clear" w:color="auto" w:fill="E7E7E7"/>
            <w:tcMar>
              <w:top w:w="72" w:type="dxa"/>
              <w:left w:w="144" w:type="dxa"/>
              <w:bottom w:w="72" w:type="dxa"/>
              <w:right w:w="144" w:type="dxa"/>
            </w:tcMar>
            <w:vAlign w:val="center"/>
            <w:hideMark/>
          </w:tcPr>
          <w:p w14:paraId="683F1FBA" w14:textId="77777777" w:rsidR="000A5607" w:rsidRPr="005B7D8D" w:rsidRDefault="000A5607" w:rsidP="00745490">
            <w:pPr>
              <w:spacing w:line="360" w:lineRule="auto"/>
              <w:jc w:val="center"/>
              <w:rPr>
                <w:i/>
                <w:sz w:val="22"/>
              </w:rPr>
            </w:pPr>
            <w:r w:rsidRPr="005B7D8D">
              <w:rPr>
                <w:i/>
                <w:sz w:val="22"/>
                <w:lang w:val="en-US"/>
              </w:rPr>
              <w:t>Absent</w:t>
            </w:r>
          </w:p>
        </w:tc>
        <w:tc>
          <w:tcPr>
            <w:tcW w:w="2065" w:type="dxa"/>
            <w:tcBorders>
              <w:top w:val="nil"/>
              <w:bottom w:val="single" w:sz="4" w:space="0" w:color="auto"/>
            </w:tcBorders>
            <w:shd w:val="clear" w:color="auto" w:fill="E7E7E7"/>
            <w:tcMar>
              <w:top w:w="72" w:type="dxa"/>
              <w:left w:w="144" w:type="dxa"/>
              <w:bottom w:w="72" w:type="dxa"/>
              <w:right w:w="144" w:type="dxa"/>
            </w:tcMar>
            <w:vAlign w:val="center"/>
            <w:hideMark/>
          </w:tcPr>
          <w:p w14:paraId="58B123AC" w14:textId="77777777" w:rsidR="000A5607" w:rsidRPr="00A251A1" w:rsidRDefault="000A5607" w:rsidP="00745490">
            <w:pPr>
              <w:spacing w:line="360" w:lineRule="auto"/>
              <w:jc w:val="center"/>
              <w:rPr>
                <w:sz w:val="22"/>
              </w:rPr>
            </w:pPr>
            <w:r w:rsidRPr="00A251A1">
              <w:rPr>
                <w:sz w:val="22"/>
                <w:lang w:val="en-US"/>
              </w:rPr>
              <w:t>Varied/high access</w:t>
            </w:r>
          </w:p>
        </w:tc>
      </w:tr>
      <w:tr w:rsidR="000A5607" w:rsidRPr="00D2352C" w14:paraId="67EF3CB9" w14:textId="77777777" w:rsidTr="00EE63FB">
        <w:trPr>
          <w:trHeight w:val="436"/>
        </w:trPr>
        <w:tc>
          <w:tcPr>
            <w:tcW w:w="2043" w:type="dxa"/>
            <w:vMerge w:val="restart"/>
            <w:tcBorders>
              <w:top w:val="single" w:sz="4" w:space="0" w:color="auto"/>
            </w:tcBorders>
            <w:shd w:val="clear" w:color="auto" w:fill="auto"/>
            <w:tcMar>
              <w:top w:w="72" w:type="dxa"/>
              <w:left w:w="144" w:type="dxa"/>
              <w:bottom w:w="72" w:type="dxa"/>
              <w:right w:w="144" w:type="dxa"/>
            </w:tcMar>
            <w:vAlign w:val="center"/>
            <w:hideMark/>
          </w:tcPr>
          <w:p w14:paraId="3A9BFF06" w14:textId="77777777" w:rsidR="000A5607" w:rsidRPr="00D2352C" w:rsidRDefault="000A5607" w:rsidP="00745490">
            <w:pPr>
              <w:spacing w:line="360" w:lineRule="auto"/>
            </w:pPr>
            <w:r w:rsidRPr="00D2352C">
              <w:rPr>
                <w:lang w:val="en-US"/>
              </w:rPr>
              <w:t>Vendors</w:t>
            </w:r>
          </w:p>
        </w:tc>
        <w:tc>
          <w:tcPr>
            <w:tcW w:w="2106" w:type="dxa"/>
            <w:tcBorders>
              <w:top w:val="single" w:sz="4" w:space="0" w:color="auto"/>
            </w:tcBorders>
            <w:shd w:val="clear" w:color="auto" w:fill="auto"/>
            <w:tcMar>
              <w:top w:w="72" w:type="dxa"/>
              <w:left w:w="144" w:type="dxa"/>
              <w:bottom w:w="72" w:type="dxa"/>
              <w:right w:w="144" w:type="dxa"/>
            </w:tcMar>
            <w:vAlign w:val="center"/>
            <w:hideMark/>
          </w:tcPr>
          <w:p w14:paraId="0D935BE7" w14:textId="77777777" w:rsidR="000A5607" w:rsidRPr="005B7D8D" w:rsidRDefault="000A5607" w:rsidP="00745490">
            <w:pPr>
              <w:spacing w:line="360" w:lineRule="auto"/>
              <w:jc w:val="center"/>
              <w:rPr>
                <w:i/>
                <w:sz w:val="22"/>
              </w:rPr>
            </w:pPr>
            <w:r>
              <w:rPr>
                <w:i/>
                <w:sz w:val="22"/>
                <w:lang w:val="en-US"/>
              </w:rPr>
              <w:t>Absent</w:t>
            </w:r>
          </w:p>
        </w:tc>
        <w:tc>
          <w:tcPr>
            <w:tcW w:w="1732" w:type="dxa"/>
            <w:tcBorders>
              <w:top w:val="single" w:sz="4" w:space="0" w:color="auto"/>
            </w:tcBorders>
            <w:shd w:val="clear" w:color="auto" w:fill="auto"/>
            <w:tcMar>
              <w:top w:w="72" w:type="dxa"/>
              <w:left w:w="144" w:type="dxa"/>
              <w:bottom w:w="72" w:type="dxa"/>
              <w:right w:w="144" w:type="dxa"/>
            </w:tcMar>
            <w:vAlign w:val="center"/>
            <w:hideMark/>
          </w:tcPr>
          <w:p w14:paraId="693974C6" w14:textId="77777777" w:rsidR="000A5607" w:rsidRPr="005B7D8D" w:rsidRDefault="000A5607" w:rsidP="00745490">
            <w:pPr>
              <w:spacing w:line="360" w:lineRule="auto"/>
              <w:jc w:val="center"/>
              <w:rPr>
                <w:i/>
                <w:sz w:val="22"/>
              </w:rPr>
            </w:pPr>
            <w:r w:rsidRPr="005B7D8D">
              <w:rPr>
                <w:i/>
                <w:sz w:val="22"/>
                <w:lang w:val="en-US"/>
              </w:rPr>
              <w:t>Absent</w:t>
            </w:r>
          </w:p>
        </w:tc>
        <w:tc>
          <w:tcPr>
            <w:tcW w:w="1775" w:type="dxa"/>
            <w:tcBorders>
              <w:top w:val="single" w:sz="4" w:space="0" w:color="auto"/>
            </w:tcBorders>
            <w:shd w:val="clear" w:color="auto" w:fill="auto"/>
            <w:tcMar>
              <w:top w:w="72" w:type="dxa"/>
              <w:left w:w="144" w:type="dxa"/>
              <w:bottom w:w="72" w:type="dxa"/>
              <w:right w:w="144" w:type="dxa"/>
            </w:tcMar>
            <w:vAlign w:val="center"/>
            <w:hideMark/>
          </w:tcPr>
          <w:p w14:paraId="5C41B12F" w14:textId="77777777" w:rsidR="000A5607" w:rsidRPr="005B7D8D" w:rsidRDefault="000A5607" w:rsidP="00745490">
            <w:pPr>
              <w:spacing w:line="360" w:lineRule="auto"/>
              <w:jc w:val="center"/>
              <w:rPr>
                <w:i/>
                <w:sz w:val="22"/>
              </w:rPr>
            </w:pPr>
            <w:r w:rsidRPr="005B7D8D">
              <w:rPr>
                <w:i/>
                <w:sz w:val="22"/>
                <w:lang w:val="en-US"/>
              </w:rPr>
              <w:t>Absent</w:t>
            </w:r>
          </w:p>
        </w:tc>
        <w:tc>
          <w:tcPr>
            <w:tcW w:w="2065" w:type="dxa"/>
            <w:tcBorders>
              <w:top w:val="single" w:sz="4" w:space="0" w:color="auto"/>
            </w:tcBorders>
            <w:shd w:val="clear" w:color="auto" w:fill="auto"/>
            <w:tcMar>
              <w:top w:w="72" w:type="dxa"/>
              <w:left w:w="144" w:type="dxa"/>
              <w:bottom w:w="72" w:type="dxa"/>
              <w:right w:w="144" w:type="dxa"/>
            </w:tcMar>
            <w:vAlign w:val="center"/>
            <w:hideMark/>
          </w:tcPr>
          <w:p w14:paraId="5F374F6F" w14:textId="77777777" w:rsidR="000A5607" w:rsidRPr="00A251A1" w:rsidRDefault="000A5607" w:rsidP="00745490">
            <w:pPr>
              <w:spacing w:line="360" w:lineRule="auto"/>
              <w:jc w:val="center"/>
              <w:rPr>
                <w:sz w:val="22"/>
              </w:rPr>
            </w:pPr>
            <w:r w:rsidRPr="00A251A1">
              <w:rPr>
                <w:sz w:val="22"/>
                <w:lang w:val="en-US"/>
              </w:rPr>
              <w:t>Limited/</w:t>
            </w:r>
            <w:r>
              <w:rPr>
                <w:sz w:val="22"/>
                <w:lang w:val="en-US"/>
              </w:rPr>
              <w:t>l</w:t>
            </w:r>
            <w:r w:rsidRPr="00A251A1">
              <w:rPr>
                <w:sz w:val="22"/>
                <w:lang w:val="en-US"/>
              </w:rPr>
              <w:t>ow Access</w:t>
            </w:r>
          </w:p>
        </w:tc>
      </w:tr>
      <w:tr w:rsidR="000A5607" w:rsidRPr="00D2352C" w14:paraId="28B66B85" w14:textId="77777777" w:rsidTr="00EE63FB">
        <w:trPr>
          <w:trHeight w:val="452"/>
        </w:trPr>
        <w:tc>
          <w:tcPr>
            <w:tcW w:w="0" w:type="auto"/>
            <w:vMerge/>
            <w:vAlign w:val="center"/>
            <w:hideMark/>
          </w:tcPr>
          <w:p w14:paraId="5FF97885" w14:textId="77777777" w:rsidR="000A5607" w:rsidRPr="00D2352C" w:rsidRDefault="000A5607" w:rsidP="00745490">
            <w:pPr>
              <w:spacing w:line="360" w:lineRule="auto"/>
            </w:pPr>
          </w:p>
        </w:tc>
        <w:tc>
          <w:tcPr>
            <w:tcW w:w="2106" w:type="dxa"/>
            <w:shd w:val="clear" w:color="auto" w:fill="E7E7E7"/>
            <w:tcMar>
              <w:top w:w="72" w:type="dxa"/>
              <w:left w:w="144" w:type="dxa"/>
              <w:bottom w:w="72" w:type="dxa"/>
              <w:right w:w="144" w:type="dxa"/>
            </w:tcMar>
            <w:vAlign w:val="center"/>
            <w:hideMark/>
          </w:tcPr>
          <w:p w14:paraId="00917511" w14:textId="77777777" w:rsidR="000A5607" w:rsidRPr="005B7D8D" w:rsidRDefault="000A5607" w:rsidP="00745490">
            <w:pPr>
              <w:spacing w:line="360" w:lineRule="auto"/>
              <w:jc w:val="center"/>
              <w:rPr>
                <w:i/>
                <w:sz w:val="22"/>
              </w:rPr>
            </w:pPr>
            <w:r>
              <w:rPr>
                <w:i/>
                <w:sz w:val="22"/>
                <w:lang w:val="en-US"/>
              </w:rPr>
              <w:t>Present</w:t>
            </w:r>
          </w:p>
        </w:tc>
        <w:tc>
          <w:tcPr>
            <w:tcW w:w="1732" w:type="dxa"/>
            <w:shd w:val="clear" w:color="auto" w:fill="E7E7E7"/>
            <w:tcMar>
              <w:top w:w="72" w:type="dxa"/>
              <w:left w:w="144" w:type="dxa"/>
              <w:bottom w:w="72" w:type="dxa"/>
              <w:right w:w="144" w:type="dxa"/>
            </w:tcMar>
            <w:vAlign w:val="center"/>
            <w:hideMark/>
          </w:tcPr>
          <w:p w14:paraId="6744AC1E" w14:textId="77777777" w:rsidR="000A5607" w:rsidRPr="005B7D8D" w:rsidRDefault="000A5607" w:rsidP="00745490">
            <w:pPr>
              <w:spacing w:line="360" w:lineRule="auto"/>
              <w:jc w:val="center"/>
              <w:rPr>
                <w:i/>
                <w:sz w:val="22"/>
              </w:rPr>
            </w:pPr>
            <w:r>
              <w:rPr>
                <w:i/>
                <w:sz w:val="22"/>
                <w:lang w:val="en-US"/>
              </w:rPr>
              <w:t>Absent</w:t>
            </w:r>
          </w:p>
        </w:tc>
        <w:tc>
          <w:tcPr>
            <w:tcW w:w="1775" w:type="dxa"/>
            <w:shd w:val="clear" w:color="auto" w:fill="E7E7E7"/>
            <w:tcMar>
              <w:top w:w="72" w:type="dxa"/>
              <w:left w:w="144" w:type="dxa"/>
              <w:bottom w:w="72" w:type="dxa"/>
              <w:right w:w="144" w:type="dxa"/>
            </w:tcMar>
            <w:vAlign w:val="center"/>
            <w:hideMark/>
          </w:tcPr>
          <w:p w14:paraId="508BFBC7" w14:textId="77777777" w:rsidR="000A5607" w:rsidRPr="005B7D8D" w:rsidRDefault="000A5607" w:rsidP="00745490">
            <w:pPr>
              <w:spacing w:line="360" w:lineRule="auto"/>
              <w:jc w:val="center"/>
              <w:rPr>
                <w:i/>
                <w:sz w:val="22"/>
              </w:rPr>
            </w:pPr>
            <w:r w:rsidRPr="005B7D8D">
              <w:rPr>
                <w:i/>
                <w:sz w:val="22"/>
                <w:lang w:val="en-US"/>
              </w:rPr>
              <w:t>Absent</w:t>
            </w:r>
          </w:p>
        </w:tc>
        <w:tc>
          <w:tcPr>
            <w:tcW w:w="2065" w:type="dxa"/>
            <w:shd w:val="clear" w:color="auto" w:fill="E7E7E7"/>
            <w:tcMar>
              <w:top w:w="72" w:type="dxa"/>
              <w:left w:w="144" w:type="dxa"/>
              <w:bottom w:w="72" w:type="dxa"/>
              <w:right w:w="144" w:type="dxa"/>
            </w:tcMar>
            <w:vAlign w:val="center"/>
            <w:hideMark/>
          </w:tcPr>
          <w:p w14:paraId="2546D06B" w14:textId="77777777" w:rsidR="000A5607" w:rsidRPr="00A251A1" w:rsidRDefault="000A5607" w:rsidP="00745490">
            <w:pPr>
              <w:spacing w:line="360" w:lineRule="auto"/>
              <w:jc w:val="center"/>
              <w:rPr>
                <w:sz w:val="22"/>
              </w:rPr>
            </w:pPr>
            <w:r w:rsidRPr="00A251A1">
              <w:rPr>
                <w:sz w:val="22"/>
                <w:lang w:val="en-US"/>
              </w:rPr>
              <w:t>Varied/high access</w:t>
            </w:r>
          </w:p>
        </w:tc>
      </w:tr>
    </w:tbl>
    <w:p w14:paraId="37C04F76" w14:textId="77777777" w:rsidR="00D03C52" w:rsidRPr="00D03C52" w:rsidRDefault="00D03C52" w:rsidP="00D03C52">
      <w:pPr>
        <w:pStyle w:val="ListParagraph"/>
        <w:spacing w:line="360" w:lineRule="auto"/>
        <w:ind w:left="1080"/>
        <w:jc w:val="both"/>
        <w:rPr>
          <w:i/>
        </w:rPr>
      </w:pPr>
    </w:p>
    <w:p w14:paraId="79478E33" w14:textId="710A6B39" w:rsidR="000A5607" w:rsidRPr="00631EE6" w:rsidRDefault="000A5607" w:rsidP="00745490">
      <w:pPr>
        <w:pStyle w:val="ListParagraph"/>
        <w:numPr>
          <w:ilvl w:val="0"/>
          <w:numId w:val="7"/>
        </w:numPr>
        <w:spacing w:line="360" w:lineRule="auto"/>
        <w:jc w:val="both"/>
        <w:rPr>
          <w:i/>
        </w:rPr>
      </w:pPr>
      <w:r w:rsidRPr="00613A82">
        <w:rPr>
          <w:i/>
          <w:lang w:val="en-US"/>
        </w:rPr>
        <w:t>Analysis of meaningful relationships and type construction</w:t>
      </w:r>
    </w:p>
    <w:p w14:paraId="49274645" w14:textId="77777777" w:rsidR="000A5607" w:rsidRDefault="000A5607" w:rsidP="00745490">
      <w:pPr>
        <w:spacing w:line="360" w:lineRule="auto"/>
        <w:ind w:firstLine="720"/>
        <w:jc w:val="both"/>
      </w:pPr>
      <w:r>
        <w:t>After we grouped the cases based on the selected attributes, we eliminated the “non-instrumental” attribute from the motivation dimension, as there were no present cases for that attribute (Supplementary Table 2). From this we were able to identify the 6 different empirically founded groups that share combination of the selected attributes. We named each type according to the attribute that differentiated them. Each attribute space that was present was considered a type and two types were constructed for vendors with instrumental motivations and varied/high access.</w:t>
      </w:r>
    </w:p>
    <w:p w14:paraId="02BF95C5" w14:textId="77777777" w:rsidR="000A5607" w:rsidRPr="00613A82" w:rsidRDefault="000A5607" w:rsidP="00745490">
      <w:pPr>
        <w:spacing w:line="360" w:lineRule="auto"/>
        <w:ind w:firstLine="720"/>
      </w:pPr>
    </w:p>
    <w:p w14:paraId="0AE14BBC" w14:textId="77777777" w:rsidR="000A5607" w:rsidRPr="002802BB" w:rsidRDefault="000A5607" w:rsidP="00745490">
      <w:pPr>
        <w:spacing w:line="360" w:lineRule="auto"/>
      </w:pPr>
      <w:r w:rsidRPr="004F4C19">
        <w:rPr>
          <w:b/>
        </w:rPr>
        <w:t xml:space="preserve">Supplementary Table </w:t>
      </w:r>
      <w:r>
        <w:rPr>
          <w:b/>
        </w:rPr>
        <w:t xml:space="preserve">2. </w:t>
      </w:r>
      <w:r>
        <w:t>Type construction process. Non-instrumental motivations were eliminated from the final matrix and each type was named according to its differentiating attributes.</w:t>
      </w:r>
    </w:p>
    <w:tbl>
      <w:tblPr>
        <w:tblW w:w="10031" w:type="dxa"/>
        <w:tblBorders>
          <w:bottom w:val="single" w:sz="4" w:space="0" w:color="auto"/>
        </w:tblBorders>
        <w:tblCellMar>
          <w:left w:w="0" w:type="dxa"/>
          <w:right w:w="0" w:type="dxa"/>
        </w:tblCellMar>
        <w:tblLook w:val="0420" w:firstRow="1" w:lastRow="0" w:firstColumn="0" w:lastColumn="0" w:noHBand="0" w:noVBand="1"/>
      </w:tblPr>
      <w:tblGrid>
        <w:gridCol w:w="2127"/>
        <w:gridCol w:w="3111"/>
        <w:gridCol w:w="2187"/>
        <w:gridCol w:w="2606"/>
      </w:tblGrid>
      <w:tr w:rsidR="000A5607" w:rsidRPr="00D2352C" w14:paraId="3B10CCCB" w14:textId="77777777" w:rsidTr="00EE63FB">
        <w:trPr>
          <w:trHeight w:val="332"/>
        </w:trPr>
        <w:tc>
          <w:tcPr>
            <w:tcW w:w="2127" w:type="dxa"/>
            <w:tcBorders>
              <w:top w:val="single" w:sz="4" w:space="0" w:color="auto"/>
              <w:bottom w:val="single" w:sz="4" w:space="0" w:color="auto"/>
            </w:tcBorders>
            <w:shd w:val="clear" w:color="auto" w:fill="auto"/>
            <w:tcMar>
              <w:top w:w="72" w:type="dxa"/>
              <w:left w:w="144" w:type="dxa"/>
              <w:bottom w:w="72" w:type="dxa"/>
              <w:right w:w="144" w:type="dxa"/>
            </w:tcMar>
            <w:hideMark/>
          </w:tcPr>
          <w:p w14:paraId="00232260" w14:textId="77777777" w:rsidR="000A5607" w:rsidRPr="00D2352C" w:rsidRDefault="000A5607" w:rsidP="00745490">
            <w:pPr>
              <w:spacing w:line="360" w:lineRule="auto"/>
            </w:pPr>
          </w:p>
        </w:tc>
        <w:tc>
          <w:tcPr>
            <w:tcW w:w="5298" w:type="dxa"/>
            <w:gridSpan w:val="2"/>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5EEA7463" w14:textId="77777777" w:rsidR="000A5607" w:rsidRPr="00D2352C" w:rsidRDefault="000A5607" w:rsidP="00745490">
            <w:pPr>
              <w:spacing w:line="360" w:lineRule="auto"/>
              <w:jc w:val="center"/>
            </w:pPr>
            <w:r>
              <w:rPr>
                <w:b/>
                <w:bCs/>
                <w:lang w:val="en-US"/>
              </w:rPr>
              <w:t xml:space="preserve">      </w:t>
            </w:r>
            <w:r w:rsidRPr="00D2352C">
              <w:rPr>
                <w:b/>
                <w:bCs/>
                <w:lang w:val="en-US"/>
              </w:rPr>
              <w:t>Motivation</w:t>
            </w:r>
          </w:p>
        </w:tc>
        <w:tc>
          <w:tcPr>
            <w:tcW w:w="2606"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637FDB66" w14:textId="77777777" w:rsidR="000A5607" w:rsidRPr="00D2352C" w:rsidRDefault="000A5607" w:rsidP="00745490">
            <w:pPr>
              <w:spacing w:line="360" w:lineRule="auto"/>
              <w:jc w:val="center"/>
            </w:pPr>
            <w:r w:rsidRPr="00D2352C">
              <w:rPr>
                <w:b/>
                <w:bCs/>
                <w:lang w:val="en-US"/>
              </w:rPr>
              <w:t>Type of Access</w:t>
            </w:r>
          </w:p>
        </w:tc>
      </w:tr>
      <w:tr w:rsidR="000A5607" w:rsidRPr="00D2352C" w14:paraId="6482A56B" w14:textId="77777777" w:rsidTr="00EE63FB">
        <w:trPr>
          <w:trHeight w:val="576"/>
        </w:trPr>
        <w:tc>
          <w:tcPr>
            <w:tcW w:w="2127" w:type="dxa"/>
            <w:tcBorders>
              <w:top w:val="single" w:sz="4" w:space="0" w:color="auto"/>
              <w:bottom w:val="single" w:sz="4" w:space="0" w:color="auto"/>
            </w:tcBorders>
            <w:shd w:val="clear" w:color="auto" w:fill="E7E7E7"/>
            <w:tcMar>
              <w:top w:w="72" w:type="dxa"/>
              <w:left w:w="144" w:type="dxa"/>
              <w:bottom w:w="72" w:type="dxa"/>
              <w:right w:w="144" w:type="dxa"/>
            </w:tcMar>
            <w:vAlign w:val="center"/>
            <w:hideMark/>
          </w:tcPr>
          <w:p w14:paraId="0E8D6170" w14:textId="77777777" w:rsidR="000A5607" w:rsidRPr="00D2352C" w:rsidRDefault="000A5607" w:rsidP="00745490">
            <w:pPr>
              <w:spacing w:line="360" w:lineRule="auto"/>
              <w:jc w:val="center"/>
            </w:pPr>
            <w:r w:rsidRPr="00D2352C">
              <w:rPr>
                <w:lang w:val="en-US"/>
              </w:rPr>
              <w:t>Sector</w:t>
            </w:r>
          </w:p>
        </w:tc>
        <w:tc>
          <w:tcPr>
            <w:tcW w:w="3111" w:type="dxa"/>
            <w:tcBorders>
              <w:top w:val="single" w:sz="4" w:space="0" w:color="auto"/>
              <w:bottom w:val="single" w:sz="4" w:space="0" w:color="auto"/>
            </w:tcBorders>
            <w:shd w:val="clear" w:color="auto" w:fill="E7E7E7"/>
            <w:tcMar>
              <w:top w:w="72" w:type="dxa"/>
              <w:left w:w="144" w:type="dxa"/>
              <w:bottom w:w="72" w:type="dxa"/>
              <w:right w:w="144" w:type="dxa"/>
            </w:tcMar>
            <w:vAlign w:val="center"/>
            <w:hideMark/>
          </w:tcPr>
          <w:p w14:paraId="60DFC96C" w14:textId="77777777" w:rsidR="000A5607" w:rsidRPr="00D2352C" w:rsidRDefault="000A5607" w:rsidP="00745490">
            <w:pPr>
              <w:spacing w:line="360" w:lineRule="auto"/>
              <w:jc w:val="center"/>
            </w:pPr>
            <w:r w:rsidRPr="00D2352C">
              <w:rPr>
                <w:lang w:val="en-US"/>
              </w:rPr>
              <w:t>Only Instrumental</w:t>
            </w:r>
          </w:p>
        </w:tc>
        <w:tc>
          <w:tcPr>
            <w:tcW w:w="2187" w:type="dxa"/>
            <w:tcBorders>
              <w:top w:val="single" w:sz="4" w:space="0" w:color="auto"/>
              <w:bottom w:val="single" w:sz="4" w:space="0" w:color="auto"/>
            </w:tcBorders>
            <w:shd w:val="clear" w:color="auto" w:fill="E7E7E7"/>
            <w:tcMar>
              <w:top w:w="72" w:type="dxa"/>
              <w:left w:w="144" w:type="dxa"/>
              <w:bottom w:w="72" w:type="dxa"/>
              <w:right w:w="144" w:type="dxa"/>
            </w:tcMar>
            <w:vAlign w:val="center"/>
            <w:hideMark/>
          </w:tcPr>
          <w:p w14:paraId="043F15DF" w14:textId="77777777" w:rsidR="000A5607" w:rsidRPr="00D2352C" w:rsidRDefault="000A5607" w:rsidP="00745490">
            <w:pPr>
              <w:spacing w:line="360" w:lineRule="auto"/>
              <w:jc w:val="center"/>
            </w:pPr>
            <w:r w:rsidRPr="00D2352C">
              <w:rPr>
                <w:lang w:val="en-US"/>
              </w:rPr>
              <w:t>Mixed</w:t>
            </w:r>
          </w:p>
        </w:tc>
        <w:tc>
          <w:tcPr>
            <w:tcW w:w="2606" w:type="dxa"/>
            <w:tcBorders>
              <w:top w:val="single" w:sz="4" w:space="0" w:color="auto"/>
              <w:bottom w:val="single" w:sz="4" w:space="0" w:color="auto"/>
            </w:tcBorders>
            <w:shd w:val="clear" w:color="auto" w:fill="E7E7E7"/>
            <w:tcMar>
              <w:top w:w="72" w:type="dxa"/>
              <w:left w:w="144" w:type="dxa"/>
              <w:bottom w:w="72" w:type="dxa"/>
              <w:right w:w="144" w:type="dxa"/>
            </w:tcMar>
            <w:hideMark/>
          </w:tcPr>
          <w:p w14:paraId="0336B321" w14:textId="77777777" w:rsidR="000A5607" w:rsidRPr="00D2352C" w:rsidRDefault="000A5607" w:rsidP="00745490">
            <w:pPr>
              <w:spacing w:line="360" w:lineRule="auto"/>
            </w:pPr>
          </w:p>
        </w:tc>
      </w:tr>
      <w:tr w:rsidR="000A5607" w:rsidRPr="00D2352C" w14:paraId="164123F0" w14:textId="77777777" w:rsidTr="00EE63FB">
        <w:trPr>
          <w:trHeight w:val="260"/>
        </w:trPr>
        <w:tc>
          <w:tcPr>
            <w:tcW w:w="2127" w:type="dxa"/>
            <w:vMerge w:val="restart"/>
            <w:tcBorders>
              <w:top w:val="single" w:sz="4" w:space="0" w:color="auto"/>
            </w:tcBorders>
            <w:shd w:val="clear" w:color="auto" w:fill="auto"/>
            <w:tcMar>
              <w:top w:w="72" w:type="dxa"/>
              <w:left w:w="144" w:type="dxa"/>
              <w:bottom w:w="72" w:type="dxa"/>
              <w:right w:w="144" w:type="dxa"/>
            </w:tcMar>
            <w:vAlign w:val="center"/>
            <w:hideMark/>
          </w:tcPr>
          <w:p w14:paraId="0310EF11" w14:textId="77777777" w:rsidR="000A5607" w:rsidRPr="00D2352C" w:rsidRDefault="000A5607" w:rsidP="00745490">
            <w:pPr>
              <w:spacing w:line="360" w:lineRule="auto"/>
            </w:pPr>
            <w:r w:rsidRPr="00D2352C">
              <w:rPr>
                <w:lang w:val="en-US"/>
              </w:rPr>
              <w:t>Harvester</w:t>
            </w:r>
          </w:p>
        </w:tc>
        <w:tc>
          <w:tcPr>
            <w:tcW w:w="3111" w:type="dxa"/>
            <w:tcBorders>
              <w:top w:val="single" w:sz="4" w:space="0" w:color="auto"/>
            </w:tcBorders>
            <w:shd w:val="clear" w:color="auto" w:fill="auto"/>
            <w:tcMar>
              <w:top w:w="72" w:type="dxa"/>
              <w:left w:w="144" w:type="dxa"/>
              <w:bottom w:w="72" w:type="dxa"/>
              <w:right w:w="144" w:type="dxa"/>
            </w:tcMar>
            <w:vAlign w:val="center"/>
            <w:hideMark/>
          </w:tcPr>
          <w:p w14:paraId="3BB00697" w14:textId="77777777" w:rsidR="000A5607" w:rsidRPr="005B7D8D" w:rsidRDefault="000A5607" w:rsidP="00745490">
            <w:pPr>
              <w:spacing w:line="360" w:lineRule="auto"/>
              <w:jc w:val="center"/>
              <w:rPr>
                <w:i/>
                <w:sz w:val="22"/>
              </w:rPr>
            </w:pPr>
            <w:r w:rsidRPr="005B7D8D">
              <w:rPr>
                <w:i/>
                <w:sz w:val="22"/>
                <w:lang w:val="en-US"/>
              </w:rPr>
              <w:t>x</w:t>
            </w:r>
          </w:p>
        </w:tc>
        <w:tc>
          <w:tcPr>
            <w:tcW w:w="2187" w:type="dxa"/>
            <w:tcBorders>
              <w:top w:val="single" w:sz="4" w:space="0" w:color="auto"/>
            </w:tcBorders>
            <w:shd w:val="clear" w:color="auto" w:fill="auto"/>
            <w:tcMar>
              <w:top w:w="72" w:type="dxa"/>
              <w:left w:w="144" w:type="dxa"/>
              <w:bottom w:w="72" w:type="dxa"/>
              <w:right w:w="144" w:type="dxa"/>
            </w:tcMar>
            <w:vAlign w:val="center"/>
            <w:hideMark/>
          </w:tcPr>
          <w:p w14:paraId="6AF99729" w14:textId="77777777" w:rsidR="000A5607" w:rsidRPr="005B7D8D" w:rsidRDefault="000A5607" w:rsidP="00745490">
            <w:pPr>
              <w:spacing w:line="360" w:lineRule="auto"/>
              <w:jc w:val="center"/>
              <w:rPr>
                <w:i/>
                <w:sz w:val="22"/>
                <w:lang w:val="en-US"/>
              </w:rPr>
            </w:pPr>
            <w:r w:rsidRPr="005B7D8D">
              <w:rPr>
                <w:i/>
                <w:sz w:val="22"/>
                <w:lang w:val="en-US"/>
              </w:rPr>
              <w:t xml:space="preserve">Type I </w:t>
            </w:r>
          </w:p>
          <w:p w14:paraId="0428FB9B" w14:textId="77777777" w:rsidR="000A5607" w:rsidRPr="005B7D8D" w:rsidRDefault="000A5607" w:rsidP="00745490">
            <w:pPr>
              <w:spacing w:line="360" w:lineRule="auto"/>
              <w:jc w:val="center"/>
              <w:rPr>
                <w:i/>
                <w:sz w:val="22"/>
              </w:rPr>
            </w:pPr>
            <w:r w:rsidRPr="005B7D8D">
              <w:rPr>
                <w:i/>
                <w:sz w:val="22"/>
                <w:lang w:val="en-US"/>
              </w:rPr>
              <w:t>“Low quota fishers”</w:t>
            </w:r>
          </w:p>
        </w:tc>
        <w:tc>
          <w:tcPr>
            <w:tcW w:w="2606" w:type="dxa"/>
            <w:tcBorders>
              <w:top w:val="single" w:sz="4" w:space="0" w:color="auto"/>
            </w:tcBorders>
            <w:shd w:val="clear" w:color="auto" w:fill="auto"/>
            <w:tcMar>
              <w:top w:w="72" w:type="dxa"/>
              <w:left w:w="144" w:type="dxa"/>
              <w:bottom w:w="72" w:type="dxa"/>
              <w:right w:w="144" w:type="dxa"/>
            </w:tcMar>
            <w:vAlign w:val="center"/>
            <w:hideMark/>
          </w:tcPr>
          <w:p w14:paraId="33491897" w14:textId="77777777" w:rsidR="000A5607" w:rsidRPr="0046327F" w:rsidRDefault="000A5607" w:rsidP="00745490">
            <w:pPr>
              <w:spacing w:line="360" w:lineRule="auto"/>
              <w:jc w:val="center"/>
              <w:rPr>
                <w:sz w:val="22"/>
              </w:rPr>
            </w:pPr>
            <w:r w:rsidRPr="0046327F">
              <w:rPr>
                <w:sz w:val="22"/>
                <w:lang w:val="en-US"/>
              </w:rPr>
              <w:t>Limited/</w:t>
            </w:r>
            <w:r>
              <w:rPr>
                <w:sz w:val="22"/>
                <w:lang w:val="en-US"/>
              </w:rPr>
              <w:t>l</w:t>
            </w:r>
            <w:r w:rsidRPr="0046327F">
              <w:rPr>
                <w:sz w:val="22"/>
                <w:lang w:val="en-US"/>
              </w:rPr>
              <w:t>ow Access</w:t>
            </w:r>
          </w:p>
        </w:tc>
      </w:tr>
      <w:tr w:rsidR="000A5607" w:rsidRPr="00D2352C" w14:paraId="48E3BD33" w14:textId="77777777" w:rsidTr="00EE63FB">
        <w:trPr>
          <w:trHeight w:val="521"/>
        </w:trPr>
        <w:tc>
          <w:tcPr>
            <w:tcW w:w="2127" w:type="dxa"/>
            <w:vMerge/>
            <w:vAlign w:val="center"/>
            <w:hideMark/>
          </w:tcPr>
          <w:p w14:paraId="5C0C61D0" w14:textId="77777777" w:rsidR="000A5607" w:rsidRPr="00D2352C" w:rsidRDefault="000A5607" w:rsidP="00745490">
            <w:pPr>
              <w:spacing w:line="360" w:lineRule="auto"/>
            </w:pPr>
          </w:p>
        </w:tc>
        <w:tc>
          <w:tcPr>
            <w:tcW w:w="3111" w:type="dxa"/>
            <w:shd w:val="clear" w:color="auto" w:fill="E7E7E7"/>
            <w:tcMar>
              <w:top w:w="72" w:type="dxa"/>
              <w:left w:w="144" w:type="dxa"/>
              <w:bottom w:w="72" w:type="dxa"/>
              <w:right w:w="144" w:type="dxa"/>
            </w:tcMar>
            <w:vAlign w:val="center"/>
            <w:hideMark/>
          </w:tcPr>
          <w:p w14:paraId="6211482B" w14:textId="77777777" w:rsidR="000A5607" w:rsidRPr="005B7D8D" w:rsidRDefault="000A5607" w:rsidP="00745490">
            <w:pPr>
              <w:spacing w:line="360" w:lineRule="auto"/>
              <w:jc w:val="center"/>
              <w:rPr>
                <w:i/>
                <w:sz w:val="22"/>
              </w:rPr>
            </w:pPr>
            <w:r w:rsidRPr="005B7D8D">
              <w:rPr>
                <w:i/>
                <w:sz w:val="22"/>
                <w:lang w:val="en-US"/>
              </w:rPr>
              <w:t>x</w:t>
            </w:r>
          </w:p>
        </w:tc>
        <w:tc>
          <w:tcPr>
            <w:tcW w:w="2187" w:type="dxa"/>
            <w:shd w:val="clear" w:color="auto" w:fill="E7E7E7"/>
            <w:tcMar>
              <w:top w:w="72" w:type="dxa"/>
              <w:left w:w="144" w:type="dxa"/>
              <w:bottom w:w="72" w:type="dxa"/>
              <w:right w:w="144" w:type="dxa"/>
            </w:tcMar>
            <w:vAlign w:val="center"/>
            <w:hideMark/>
          </w:tcPr>
          <w:p w14:paraId="4C0A9122" w14:textId="77777777" w:rsidR="000A5607" w:rsidRPr="005B7D8D" w:rsidRDefault="000A5607" w:rsidP="00745490">
            <w:pPr>
              <w:spacing w:line="360" w:lineRule="auto"/>
              <w:jc w:val="center"/>
              <w:rPr>
                <w:i/>
                <w:sz w:val="22"/>
                <w:lang w:val="en-US"/>
              </w:rPr>
            </w:pPr>
            <w:r w:rsidRPr="005B7D8D">
              <w:rPr>
                <w:i/>
                <w:sz w:val="22"/>
                <w:lang w:val="en-US"/>
              </w:rPr>
              <w:t xml:space="preserve">Type II </w:t>
            </w:r>
          </w:p>
          <w:p w14:paraId="4C6E9453" w14:textId="77777777" w:rsidR="000A5607" w:rsidRPr="005B7D8D" w:rsidRDefault="000A5607" w:rsidP="00745490">
            <w:pPr>
              <w:spacing w:line="360" w:lineRule="auto"/>
              <w:jc w:val="center"/>
              <w:rPr>
                <w:i/>
                <w:sz w:val="22"/>
              </w:rPr>
            </w:pPr>
            <w:r w:rsidRPr="005B7D8D">
              <w:rPr>
                <w:i/>
                <w:sz w:val="22"/>
                <w:lang w:val="en-US"/>
              </w:rPr>
              <w:t>“High quota fishers”</w:t>
            </w:r>
          </w:p>
        </w:tc>
        <w:tc>
          <w:tcPr>
            <w:tcW w:w="2606" w:type="dxa"/>
            <w:shd w:val="clear" w:color="auto" w:fill="E7E7E7"/>
            <w:tcMar>
              <w:top w:w="72" w:type="dxa"/>
              <w:left w:w="144" w:type="dxa"/>
              <w:bottom w:w="72" w:type="dxa"/>
              <w:right w:w="144" w:type="dxa"/>
            </w:tcMar>
            <w:vAlign w:val="center"/>
            <w:hideMark/>
          </w:tcPr>
          <w:p w14:paraId="493D1F3A" w14:textId="77777777" w:rsidR="000A5607" w:rsidRPr="0046327F" w:rsidRDefault="000A5607" w:rsidP="00745490">
            <w:pPr>
              <w:spacing w:line="360" w:lineRule="auto"/>
              <w:jc w:val="center"/>
              <w:rPr>
                <w:sz w:val="22"/>
              </w:rPr>
            </w:pPr>
            <w:r w:rsidRPr="0046327F">
              <w:rPr>
                <w:sz w:val="22"/>
                <w:lang w:val="en-US"/>
              </w:rPr>
              <w:t>Varied/high access</w:t>
            </w:r>
          </w:p>
        </w:tc>
      </w:tr>
      <w:tr w:rsidR="000A5607" w:rsidRPr="00D2352C" w14:paraId="5059118E" w14:textId="77777777" w:rsidTr="00EE63FB">
        <w:trPr>
          <w:trHeight w:val="522"/>
        </w:trPr>
        <w:tc>
          <w:tcPr>
            <w:tcW w:w="2127" w:type="dxa"/>
            <w:vMerge w:val="restart"/>
            <w:shd w:val="clear" w:color="auto" w:fill="auto"/>
            <w:tcMar>
              <w:top w:w="72" w:type="dxa"/>
              <w:left w:w="144" w:type="dxa"/>
              <w:bottom w:w="72" w:type="dxa"/>
              <w:right w:w="144" w:type="dxa"/>
            </w:tcMar>
            <w:vAlign w:val="center"/>
            <w:hideMark/>
          </w:tcPr>
          <w:p w14:paraId="63DE3227" w14:textId="77777777" w:rsidR="000A5607" w:rsidRPr="00D2352C" w:rsidRDefault="000A5607" w:rsidP="00745490">
            <w:pPr>
              <w:spacing w:line="360" w:lineRule="auto"/>
            </w:pPr>
            <w:r w:rsidRPr="00D2352C">
              <w:rPr>
                <w:lang w:val="en-US"/>
              </w:rPr>
              <w:t>Intermediaries</w:t>
            </w:r>
          </w:p>
        </w:tc>
        <w:tc>
          <w:tcPr>
            <w:tcW w:w="3111" w:type="dxa"/>
            <w:shd w:val="clear" w:color="auto" w:fill="auto"/>
            <w:tcMar>
              <w:top w:w="72" w:type="dxa"/>
              <w:left w:w="144" w:type="dxa"/>
              <w:bottom w:w="72" w:type="dxa"/>
              <w:right w:w="144" w:type="dxa"/>
            </w:tcMar>
            <w:vAlign w:val="center"/>
            <w:hideMark/>
          </w:tcPr>
          <w:p w14:paraId="5E370032" w14:textId="77777777" w:rsidR="000A5607" w:rsidRPr="005B7D8D" w:rsidRDefault="000A5607" w:rsidP="00745490">
            <w:pPr>
              <w:spacing w:line="360" w:lineRule="auto"/>
              <w:jc w:val="center"/>
              <w:rPr>
                <w:i/>
                <w:sz w:val="22"/>
                <w:lang w:val="en-US"/>
              </w:rPr>
            </w:pPr>
            <w:r w:rsidRPr="005B7D8D">
              <w:rPr>
                <w:i/>
                <w:sz w:val="22"/>
                <w:lang w:val="en-US"/>
              </w:rPr>
              <w:t xml:space="preserve">Type III </w:t>
            </w:r>
          </w:p>
          <w:p w14:paraId="7F0F6BEE" w14:textId="77777777" w:rsidR="000A5607" w:rsidRPr="005B7D8D" w:rsidRDefault="000A5607" w:rsidP="00745490">
            <w:pPr>
              <w:spacing w:line="360" w:lineRule="auto"/>
              <w:jc w:val="center"/>
              <w:rPr>
                <w:i/>
                <w:sz w:val="22"/>
              </w:rPr>
            </w:pPr>
            <w:r w:rsidRPr="005B7D8D">
              <w:rPr>
                <w:i/>
                <w:sz w:val="22"/>
                <w:lang w:val="en-US"/>
              </w:rPr>
              <w:t>“Temporal intermediary”</w:t>
            </w:r>
          </w:p>
        </w:tc>
        <w:tc>
          <w:tcPr>
            <w:tcW w:w="2187" w:type="dxa"/>
            <w:shd w:val="clear" w:color="auto" w:fill="auto"/>
            <w:tcMar>
              <w:top w:w="72" w:type="dxa"/>
              <w:left w:w="144" w:type="dxa"/>
              <w:bottom w:w="72" w:type="dxa"/>
              <w:right w:w="144" w:type="dxa"/>
            </w:tcMar>
            <w:vAlign w:val="center"/>
            <w:hideMark/>
          </w:tcPr>
          <w:p w14:paraId="0DAC8DA3" w14:textId="77777777" w:rsidR="000A5607" w:rsidRPr="005B7D8D" w:rsidRDefault="000A5607" w:rsidP="00745490">
            <w:pPr>
              <w:spacing w:line="360" w:lineRule="auto"/>
              <w:jc w:val="center"/>
              <w:rPr>
                <w:i/>
                <w:sz w:val="22"/>
              </w:rPr>
            </w:pPr>
            <w:r w:rsidRPr="005B7D8D">
              <w:rPr>
                <w:i/>
                <w:sz w:val="22"/>
                <w:lang w:val="en-US"/>
              </w:rPr>
              <w:t>x</w:t>
            </w:r>
          </w:p>
        </w:tc>
        <w:tc>
          <w:tcPr>
            <w:tcW w:w="2606" w:type="dxa"/>
            <w:shd w:val="clear" w:color="auto" w:fill="auto"/>
            <w:tcMar>
              <w:top w:w="72" w:type="dxa"/>
              <w:left w:w="144" w:type="dxa"/>
              <w:bottom w:w="72" w:type="dxa"/>
              <w:right w:w="144" w:type="dxa"/>
            </w:tcMar>
            <w:vAlign w:val="center"/>
            <w:hideMark/>
          </w:tcPr>
          <w:p w14:paraId="2FC26994" w14:textId="77777777" w:rsidR="000A5607" w:rsidRPr="0046327F" w:rsidRDefault="000A5607" w:rsidP="00745490">
            <w:pPr>
              <w:spacing w:line="360" w:lineRule="auto"/>
              <w:jc w:val="center"/>
              <w:rPr>
                <w:sz w:val="22"/>
              </w:rPr>
            </w:pPr>
            <w:r w:rsidRPr="0046327F">
              <w:rPr>
                <w:sz w:val="22"/>
                <w:lang w:val="en-US"/>
              </w:rPr>
              <w:t>Limited/</w:t>
            </w:r>
            <w:r>
              <w:rPr>
                <w:sz w:val="22"/>
                <w:lang w:val="en-US"/>
              </w:rPr>
              <w:t>l</w:t>
            </w:r>
            <w:r w:rsidRPr="0046327F">
              <w:rPr>
                <w:sz w:val="22"/>
                <w:lang w:val="en-US"/>
              </w:rPr>
              <w:t xml:space="preserve">ow </w:t>
            </w:r>
            <w:r>
              <w:rPr>
                <w:sz w:val="22"/>
                <w:lang w:val="en-US"/>
              </w:rPr>
              <w:t>a</w:t>
            </w:r>
            <w:r w:rsidRPr="0046327F">
              <w:rPr>
                <w:sz w:val="22"/>
                <w:lang w:val="en-US"/>
              </w:rPr>
              <w:t>ccess</w:t>
            </w:r>
          </w:p>
        </w:tc>
      </w:tr>
      <w:tr w:rsidR="000A5607" w:rsidRPr="00D2352C" w14:paraId="19101B5E" w14:textId="77777777" w:rsidTr="00EE63FB">
        <w:trPr>
          <w:trHeight w:val="20"/>
        </w:trPr>
        <w:tc>
          <w:tcPr>
            <w:tcW w:w="2127" w:type="dxa"/>
            <w:vMerge/>
            <w:vAlign w:val="center"/>
            <w:hideMark/>
          </w:tcPr>
          <w:p w14:paraId="040356AC" w14:textId="77777777" w:rsidR="000A5607" w:rsidRPr="00D2352C" w:rsidRDefault="000A5607" w:rsidP="00745490">
            <w:pPr>
              <w:spacing w:line="360" w:lineRule="auto"/>
            </w:pPr>
          </w:p>
        </w:tc>
        <w:tc>
          <w:tcPr>
            <w:tcW w:w="3111" w:type="dxa"/>
            <w:shd w:val="clear" w:color="auto" w:fill="E7E7E7"/>
            <w:tcMar>
              <w:top w:w="72" w:type="dxa"/>
              <w:left w:w="144" w:type="dxa"/>
              <w:bottom w:w="72" w:type="dxa"/>
              <w:right w:w="144" w:type="dxa"/>
            </w:tcMar>
            <w:vAlign w:val="center"/>
            <w:hideMark/>
          </w:tcPr>
          <w:p w14:paraId="0F20AF0C" w14:textId="77777777" w:rsidR="000A5607" w:rsidRPr="005B7D8D" w:rsidRDefault="000A5607" w:rsidP="00745490">
            <w:pPr>
              <w:spacing w:line="360" w:lineRule="auto"/>
              <w:jc w:val="center"/>
              <w:rPr>
                <w:i/>
                <w:sz w:val="22"/>
                <w:lang w:val="en-US"/>
              </w:rPr>
            </w:pPr>
            <w:r w:rsidRPr="005B7D8D">
              <w:rPr>
                <w:i/>
                <w:sz w:val="22"/>
                <w:lang w:val="en-US"/>
              </w:rPr>
              <w:t xml:space="preserve">Type IV </w:t>
            </w:r>
          </w:p>
          <w:p w14:paraId="73E8196D" w14:textId="77777777" w:rsidR="000A5607" w:rsidRPr="005B7D8D" w:rsidRDefault="000A5607" w:rsidP="00745490">
            <w:pPr>
              <w:spacing w:line="360" w:lineRule="auto"/>
              <w:jc w:val="center"/>
              <w:rPr>
                <w:i/>
                <w:sz w:val="22"/>
              </w:rPr>
            </w:pPr>
            <w:r w:rsidRPr="005B7D8D">
              <w:rPr>
                <w:i/>
                <w:sz w:val="22"/>
                <w:lang w:val="en-US"/>
              </w:rPr>
              <w:t>“Permanent intermediary”</w:t>
            </w:r>
          </w:p>
        </w:tc>
        <w:tc>
          <w:tcPr>
            <w:tcW w:w="2187" w:type="dxa"/>
            <w:shd w:val="clear" w:color="auto" w:fill="E7E7E7"/>
            <w:tcMar>
              <w:top w:w="72" w:type="dxa"/>
              <w:left w:w="144" w:type="dxa"/>
              <w:bottom w:w="72" w:type="dxa"/>
              <w:right w:w="144" w:type="dxa"/>
            </w:tcMar>
            <w:vAlign w:val="center"/>
            <w:hideMark/>
          </w:tcPr>
          <w:p w14:paraId="2A246209" w14:textId="77777777" w:rsidR="000A5607" w:rsidRPr="005B7D8D" w:rsidRDefault="000A5607" w:rsidP="00745490">
            <w:pPr>
              <w:spacing w:line="360" w:lineRule="auto"/>
              <w:jc w:val="center"/>
              <w:rPr>
                <w:i/>
                <w:sz w:val="22"/>
              </w:rPr>
            </w:pPr>
            <w:r w:rsidRPr="005B7D8D">
              <w:rPr>
                <w:i/>
                <w:sz w:val="22"/>
                <w:lang w:val="en-US"/>
              </w:rPr>
              <w:t>x</w:t>
            </w:r>
          </w:p>
        </w:tc>
        <w:tc>
          <w:tcPr>
            <w:tcW w:w="2606" w:type="dxa"/>
            <w:shd w:val="clear" w:color="auto" w:fill="E7E7E7"/>
            <w:tcMar>
              <w:top w:w="72" w:type="dxa"/>
              <w:left w:w="144" w:type="dxa"/>
              <w:bottom w:w="72" w:type="dxa"/>
              <w:right w:w="144" w:type="dxa"/>
            </w:tcMar>
            <w:vAlign w:val="center"/>
            <w:hideMark/>
          </w:tcPr>
          <w:p w14:paraId="50D1BB6D" w14:textId="77777777" w:rsidR="000A5607" w:rsidRPr="0046327F" w:rsidRDefault="000A5607" w:rsidP="00745490">
            <w:pPr>
              <w:spacing w:line="360" w:lineRule="auto"/>
              <w:jc w:val="center"/>
              <w:rPr>
                <w:sz w:val="22"/>
              </w:rPr>
            </w:pPr>
            <w:r w:rsidRPr="0046327F">
              <w:rPr>
                <w:sz w:val="22"/>
                <w:lang w:val="en-US"/>
              </w:rPr>
              <w:t>Varied/high access</w:t>
            </w:r>
          </w:p>
        </w:tc>
      </w:tr>
      <w:tr w:rsidR="000A5607" w:rsidRPr="00D2352C" w14:paraId="6F61AB87" w14:textId="77777777" w:rsidTr="00EE63FB">
        <w:trPr>
          <w:trHeight w:val="313"/>
        </w:trPr>
        <w:tc>
          <w:tcPr>
            <w:tcW w:w="2127" w:type="dxa"/>
            <w:vMerge w:val="restart"/>
            <w:shd w:val="clear" w:color="auto" w:fill="auto"/>
            <w:tcMar>
              <w:top w:w="72" w:type="dxa"/>
              <w:left w:w="144" w:type="dxa"/>
              <w:bottom w:w="72" w:type="dxa"/>
              <w:right w:w="144" w:type="dxa"/>
            </w:tcMar>
            <w:vAlign w:val="center"/>
            <w:hideMark/>
          </w:tcPr>
          <w:p w14:paraId="19F6A5AA" w14:textId="77777777" w:rsidR="000A5607" w:rsidRPr="00D2352C" w:rsidRDefault="000A5607" w:rsidP="00745490">
            <w:pPr>
              <w:spacing w:line="360" w:lineRule="auto"/>
            </w:pPr>
            <w:r w:rsidRPr="00D2352C">
              <w:rPr>
                <w:lang w:val="en-US"/>
              </w:rPr>
              <w:t>Vendors</w:t>
            </w:r>
          </w:p>
        </w:tc>
        <w:tc>
          <w:tcPr>
            <w:tcW w:w="3111" w:type="dxa"/>
            <w:shd w:val="clear" w:color="auto" w:fill="auto"/>
            <w:tcMar>
              <w:top w:w="72" w:type="dxa"/>
              <w:left w:w="144" w:type="dxa"/>
              <w:bottom w:w="72" w:type="dxa"/>
              <w:right w:w="144" w:type="dxa"/>
            </w:tcMar>
            <w:vAlign w:val="center"/>
            <w:hideMark/>
          </w:tcPr>
          <w:p w14:paraId="263E2D4C" w14:textId="77777777" w:rsidR="000A5607" w:rsidRPr="005B7D8D" w:rsidRDefault="000A5607" w:rsidP="00745490">
            <w:pPr>
              <w:spacing w:line="360" w:lineRule="auto"/>
              <w:jc w:val="center"/>
              <w:rPr>
                <w:i/>
                <w:sz w:val="22"/>
              </w:rPr>
            </w:pPr>
            <w:r>
              <w:rPr>
                <w:i/>
                <w:sz w:val="22"/>
              </w:rPr>
              <w:t>x</w:t>
            </w:r>
          </w:p>
        </w:tc>
        <w:tc>
          <w:tcPr>
            <w:tcW w:w="2187" w:type="dxa"/>
            <w:shd w:val="clear" w:color="auto" w:fill="auto"/>
            <w:tcMar>
              <w:top w:w="72" w:type="dxa"/>
              <w:left w:w="144" w:type="dxa"/>
              <w:bottom w:w="72" w:type="dxa"/>
              <w:right w:w="144" w:type="dxa"/>
            </w:tcMar>
            <w:vAlign w:val="center"/>
            <w:hideMark/>
          </w:tcPr>
          <w:p w14:paraId="3A5C7B7A" w14:textId="77777777" w:rsidR="000A5607" w:rsidRPr="005B7D8D" w:rsidRDefault="000A5607" w:rsidP="00745490">
            <w:pPr>
              <w:spacing w:line="360" w:lineRule="auto"/>
              <w:jc w:val="center"/>
              <w:rPr>
                <w:i/>
                <w:sz w:val="22"/>
              </w:rPr>
            </w:pPr>
            <w:r w:rsidRPr="005B7D8D">
              <w:rPr>
                <w:i/>
                <w:sz w:val="22"/>
                <w:lang w:val="en-US"/>
              </w:rPr>
              <w:t>x</w:t>
            </w:r>
          </w:p>
        </w:tc>
        <w:tc>
          <w:tcPr>
            <w:tcW w:w="2606" w:type="dxa"/>
            <w:shd w:val="clear" w:color="auto" w:fill="auto"/>
            <w:tcMar>
              <w:top w:w="72" w:type="dxa"/>
              <w:left w:w="144" w:type="dxa"/>
              <w:bottom w:w="72" w:type="dxa"/>
              <w:right w:w="144" w:type="dxa"/>
            </w:tcMar>
            <w:vAlign w:val="center"/>
            <w:hideMark/>
          </w:tcPr>
          <w:p w14:paraId="08F9BA03" w14:textId="77777777" w:rsidR="000A5607" w:rsidRPr="0046327F" w:rsidRDefault="000A5607" w:rsidP="00745490">
            <w:pPr>
              <w:spacing w:line="360" w:lineRule="auto"/>
              <w:jc w:val="center"/>
              <w:rPr>
                <w:sz w:val="22"/>
              </w:rPr>
            </w:pPr>
            <w:r w:rsidRPr="0046327F">
              <w:rPr>
                <w:sz w:val="22"/>
                <w:lang w:val="en-US"/>
              </w:rPr>
              <w:t>Limited/</w:t>
            </w:r>
            <w:r>
              <w:rPr>
                <w:sz w:val="22"/>
                <w:lang w:val="en-US"/>
              </w:rPr>
              <w:t>l</w:t>
            </w:r>
            <w:r w:rsidRPr="0046327F">
              <w:rPr>
                <w:sz w:val="22"/>
                <w:lang w:val="en-US"/>
              </w:rPr>
              <w:t xml:space="preserve">ow </w:t>
            </w:r>
            <w:r>
              <w:rPr>
                <w:sz w:val="22"/>
                <w:lang w:val="en-US"/>
              </w:rPr>
              <w:t>a</w:t>
            </w:r>
            <w:r w:rsidRPr="0046327F">
              <w:rPr>
                <w:sz w:val="22"/>
                <w:lang w:val="en-US"/>
              </w:rPr>
              <w:t>ccess</w:t>
            </w:r>
          </w:p>
        </w:tc>
      </w:tr>
      <w:tr w:rsidR="000A5607" w:rsidRPr="00D2352C" w14:paraId="187EFECC" w14:textId="77777777" w:rsidTr="00EE63FB">
        <w:trPr>
          <w:trHeight w:val="363"/>
        </w:trPr>
        <w:tc>
          <w:tcPr>
            <w:tcW w:w="2127" w:type="dxa"/>
            <w:vMerge/>
            <w:vAlign w:val="center"/>
            <w:hideMark/>
          </w:tcPr>
          <w:p w14:paraId="10FE3ADB" w14:textId="77777777" w:rsidR="000A5607" w:rsidRPr="00D2352C" w:rsidRDefault="000A5607" w:rsidP="00745490">
            <w:pPr>
              <w:spacing w:line="360" w:lineRule="auto"/>
            </w:pPr>
          </w:p>
        </w:tc>
        <w:tc>
          <w:tcPr>
            <w:tcW w:w="3111" w:type="dxa"/>
            <w:shd w:val="clear" w:color="auto" w:fill="E7E7E7"/>
            <w:tcMar>
              <w:top w:w="72" w:type="dxa"/>
              <w:left w:w="144" w:type="dxa"/>
              <w:bottom w:w="72" w:type="dxa"/>
              <w:right w:w="144" w:type="dxa"/>
            </w:tcMar>
            <w:vAlign w:val="center"/>
            <w:hideMark/>
          </w:tcPr>
          <w:p w14:paraId="04248AC0" w14:textId="77777777" w:rsidR="000A5607" w:rsidRPr="005B7D8D" w:rsidRDefault="000A5607" w:rsidP="00745490">
            <w:pPr>
              <w:spacing w:line="360" w:lineRule="auto"/>
              <w:jc w:val="center"/>
              <w:rPr>
                <w:i/>
                <w:sz w:val="22"/>
                <w:lang w:val="en-US"/>
              </w:rPr>
            </w:pPr>
            <w:r w:rsidRPr="005B7D8D">
              <w:rPr>
                <w:i/>
                <w:sz w:val="22"/>
                <w:lang w:val="en-US"/>
              </w:rPr>
              <w:t xml:space="preserve">Type V </w:t>
            </w:r>
          </w:p>
          <w:p w14:paraId="08EB9B28" w14:textId="77777777" w:rsidR="000A5607" w:rsidRDefault="000A5607" w:rsidP="00745490">
            <w:pPr>
              <w:spacing w:line="360" w:lineRule="auto"/>
              <w:jc w:val="center"/>
              <w:rPr>
                <w:i/>
                <w:sz w:val="22"/>
                <w:lang w:val="en-US"/>
              </w:rPr>
            </w:pPr>
            <w:r w:rsidRPr="005B7D8D">
              <w:rPr>
                <w:i/>
                <w:sz w:val="22"/>
                <w:lang w:val="en-US"/>
              </w:rPr>
              <w:lastRenderedPageBreak/>
              <w:t xml:space="preserve">“Fishing terminal vendor” </w:t>
            </w:r>
          </w:p>
          <w:p w14:paraId="51ABF1DF" w14:textId="77777777" w:rsidR="000A5607" w:rsidRPr="005B7D8D" w:rsidRDefault="000A5607" w:rsidP="00745490">
            <w:pPr>
              <w:spacing w:line="360" w:lineRule="auto"/>
              <w:jc w:val="center"/>
              <w:rPr>
                <w:i/>
                <w:sz w:val="22"/>
                <w:lang w:val="en-US"/>
              </w:rPr>
            </w:pPr>
            <w:r w:rsidRPr="005B7D8D">
              <w:rPr>
                <w:i/>
                <w:sz w:val="22"/>
                <w:lang w:val="en-US"/>
              </w:rPr>
              <w:t xml:space="preserve">Type VI </w:t>
            </w:r>
          </w:p>
          <w:p w14:paraId="4C6AD586" w14:textId="77777777" w:rsidR="000A5607" w:rsidRPr="005B7D8D" w:rsidRDefault="000A5607" w:rsidP="00745490">
            <w:pPr>
              <w:spacing w:line="360" w:lineRule="auto"/>
              <w:jc w:val="center"/>
              <w:rPr>
                <w:i/>
                <w:sz w:val="22"/>
              </w:rPr>
            </w:pPr>
            <w:r w:rsidRPr="005B7D8D">
              <w:rPr>
                <w:i/>
                <w:sz w:val="22"/>
                <w:lang w:val="en-US"/>
              </w:rPr>
              <w:t>“Open-air market vendor”</w:t>
            </w:r>
          </w:p>
        </w:tc>
        <w:tc>
          <w:tcPr>
            <w:tcW w:w="2187" w:type="dxa"/>
            <w:shd w:val="clear" w:color="auto" w:fill="E7E7E7"/>
            <w:tcMar>
              <w:top w:w="72" w:type="dxa"/>
              <w:left w:w="144" w:type="dxa"/>
              <w:bottom w:w="72" w:type="dxa"/>
              <w:right w:w="144" w:type="dxa"/>
            </w:tcMar>
            <w:vAlign w:val="center"/>
            <w:hideMark/>
          </w:tcPr>
          <w:p w14:paraId="398E4388" w14:textId="77777777" w:rsidR="000A5607" w:rsidRPr="005B7D8D" w:rsidRDefault="000A5607" w:rsidP="00745490">
            <w:pPr>
              <w:spacing w:line="360" w:lineRule="auto"/>
              <w:jc w:val="center"/>
              <w:rPr>
                <w:i/>
                <w:sz w:val="22"/>
              </w:rPr>
            </w:pPr>
            <w:r w:rsidRPr="005B7D8D">
              <w:rPr>
                <w:i/>
                <w:sz w:val="22"/>
                <w:lang w:val="en-US"/>
              </w:rPr>
              <w:lastRenderedPageBreak/>
              <w:t>x</w:t>
            </w:r>
          </w:p>
        </w:tc>
        <w:tc>
          <w:tcPr>
            <w:tcW w:w="2606" w:type="dxa"/>
            <w:shd w:val="clear" w:color="auto" w:fill="E7E7E7"/>
            <w:tcMar>
              <w:top w:w="72" w:type="dxa"/>
              <w:left w:w="144" w:type="dxa"/>
              <w:bottom w:w="72" w:type="dxa"/>
              <w:right w:w="144" w:type="dxa"/>
            </w:tcMar>
            <w:vAlign w:val="center"/>
            <w:hideMark/>
          </w:tcPr>
          <w:p w14:paraId="21C187AF" w14:textId="77777777" w:rsidR="000A5607" w:rsidRPr="0046327F" w:rsidRDefault="000A5607" w:rsidP="00745490">
            <w:pPr>
              <w:spacing w:line="360" w:lineRule="auto"/>
              <w:jc w:val="center"/>
              <w:rPr>
                <w:sz w:val="22"/>
              </w:rPr>
            </w:pPr>
            <w:r w:rsidRPr="0046327F">
              <w:rPr>
                <w:sz w:val="22"/>
                <w:lang w:val="en-US"/>
              </w:rPr>
              <w:t>Varied/high access</w:t>
            </w:r>
          </w:p>
        </w:tc>
      </w:tr>
    </w:tbl>
    <w:p w14:paraId="5B0190C1" w14:textId="77777777" w:rsidR="000A5607" w:rsidRDefault="000A5607" w:rsidP="00745490">
      <w:pPr>
        <w:pStyle w:val="ListParagraph"/>
        <w:spacing w:line="360" w:lineRule="auto"/>
        <w:ind w:left="1440"/>
        <w:rPr>
          <w:b/>
        </w:rPr>
      </w:pPr>
    </w:p>
    <w:p w14:paraId="661B223D" w14:textId="77777777" w:rsidR="000A5607" w:rsidRPr="0014510C" w:rsidRDefault="000A5607" w:rsidP="00745490">
      <w:pPr>
        <w:spacing w:line="360" w:lineRule="auto"/>
        <w:rPr>
          <w:b/>
        </w:rPr>
      </w:pPr>
    </w:p>
    <w:p w14:paraId="39FD6E1B" w14:textId="77777777" w:rsidR="000A5607" w:rsidRPr="00631EE6" w:rsidRDefault="000A5607" w:rsidP="00745490">
      <w:pPr>
        <w:pStyle w:val="ListParagraph"/>
        <w:numPr>
          <w:ilvl w:val="0"/>
          <w:numId w:val="7"/>
        </w:numPr>
        <w:spacing w:line="360" w:lineRule="auto"/>
      </w:pPr>
      <w:r w:rsidRPr="00E56E9C">
        <w:rPr>
          <w:lang w:val="en-US"/>
        </w:rPr>
        <w:t>Characterization of the constructed types</w:t>
      </w:r>
    </w:p>
    <w:p w14:paraId="4A75C385" w14:textId="77777777" w:rsidR="000A5607" w:rsidRPr="00225259" w:rsidRDefault="000A5607" w:rsidP="00745490">
      <w:pPr>
        <w:spacing w:line="360" w:lineRule="auto"/>
        <w:ind w:left="360" w:firstLine="360"/>
      </w:pPr>
      <w:r>
        <w:t>For the results of the characterization of the constructed type please refer to Table 2 in the article.</w:t>
      </w:r>
    </w:p>
    <w:p w14:paraId="083E613D" w14:textId="77777777" w:rsidR="000A5607" w:rsidRDefault="000A5607" w:rsidP="00745490">
      <w:pPr>
        <w:spacing w:line="360" w:lineRule="auto"/>
        <w:ind w:firstLine="720"/>
        <w:rPr>
          <w:rFonts w:eastAsia="Times New Roman" w:cstheme="minorHAnsi"/>
          <w:color w:val="0E101A"/>
        </w:rPr>
      </w:pPr>
    </w:p>
    <w:p w14:paraId="438E7964" w14:textId="77777777" w:rsidR="000A5607" w:rsidRPr="000A2300" w:rsidRDefault="000A5607" w:rsidP="00745490">
      <w:pPr>
        <w:spacing w:line="360" w:lineRule="auto"/>
        <w:ind w:firstLine="720"/>
        <w:rPr>
          <w:rFonts w:eastAsia="Times New Roman" w:cstheme="minorHAnsi"/>
          <w:color w:val="0E101A"/>
        </w:rPr>
      </w:pPr>
    </w:p>
    <w:p w14:paraId="4BD3D894" w14:textId="77777777" w:rsidR="000A5607" w:rsidRPr="000A2300" w:rsidRDefault="000A5607" w:rsidP="00745490">
      <w:pPr>
        <w:pStyle w:val="ListParagraph"/>
        <w:numPr>
          <w:ilvl w:val="1"/>
          <w:numId w:val="8"/>
        </w:numPr>
        <w:spacing w:line="360" w:lineRule="auto"/>
        <w:rPr>
          <w:b/>
          <w:i/>
        </w:rPr>
      </w:pPr>
      <w:r w:rsidRPr="00476F6C">
        <w:rPr>
          <w:rFonts w:cstheme="minorHAnsi"/>
          <w:b/>
          <w:i/>
        </w:rPr>
        <w:t xml:space="preserve">Sensitive Questioning Surveys Analysis </w:t>
      </w:r>
    </w:p>
    <w:p w14:paraId="50DA8EFC" w14:textId="196016C5" w:rsidR="00A17CC8" w:rsidRPr="000A2300" w:rsidRDefault="000A5607" w:rsidP="00ED1C91">
      <w:pPr>
        <w:spacing w:line="360" w:lineRule="auto"/>
        <w:ind w:firstLine="643"/>
        <w:rPr>
          <w:rFonts w:eastAsia="Times New Roman" w:cstheme="minorHAnsi"/>
          <w:color w:val="0E101A"/>
        </w:rPr>
      </w:pPr>
      <w:r w:rsidRPr="000A2300">
        <w:rPr>
          <w:rFonts w:eastAsia="Times New Roman" w:cstheme="minorHAnsi"/>
          <w:color w:val="0E101A"/>
        </w:rPr>
        <w:t>Per</w:t>
      </w:r>
      <w:r>
        <w:rPr>
          <w:rFonts w:eastAsia="Times New Roman" w:cstheme="minorHAnsi"/>
          <w:color w:val="0E101A"/>
        </w:rPr>
        <w:t>-</w:t>
      </w:r>
      <w:r w:rsidRPr="000A2300">
        <w:rPr>
          <w:rFonts w:eastAsia="Times New Roman" w:cstheme="minorHAnsi"/>
          <w:color w:val="0E101A"/>
        </w:rPr>
        <w:t>trip quantitative estimates of un</w:t>
      </w:r>
      <w:r>
        <w:rPr>
          <w:rFonts w:eastAsia="Times New Roman" w:cstheme="minorHAnsi"/>
          <w:color w:val="0E101A"/>
        </w:rPr>
        <w:t>re</w:t>
      </w:r>
      <w:r w:rsidRPr="000A2300">
        <w:rPr>
          <w:rFonts w:eastAsia="Times New Roman" w:cstheme="minorHAnsi"/>
          <w:color w:val="0E101A"/>
        </w:rPr>
        <w:t>port</w:t>
      </w:r>
      <w:r w:rsidR="004F56E0">
        <w:rPr>
          <w:rFonts w:eastAsia="Times New Roman" w:cstheme="minorHAnsi"/>
          <w:color w:val="0E101A"/>
        </w:rPr>
        <w:t>ed catch</w:t>
      </w:r>
      <w:r w:rsidRPr="000A2300">
        <w:rPr>
          <w:rFonts w:eastAsia="Times New Roman" w:cstheme="minorHAnsi"/>
          <w:color w:val="0E101A"/>
        </w:rPr>
        <w:t xml:space="preserve"> from Oyanedel et al. 2020 were used to calculate </w:t>
      </w:r>
      <w:r>
        <w:rPr>
          <w:rFonts w:eastAsia="Times New Roman" w:cstheme="minorHAnsi"/>
          <w:color w:val="0E101A"/>
        </w:rPr>
        <w:t>regional yearly</w:t>
      </w:r>
      <w:r w:rsidRPr="000A2300">
        <w:rPr>
          <w:rFonts w:eastAsia="Times New Roman" w:cstheme="minorHAnsi"/>
          <w:color w:val="0E101A"/>
        </w:rPr>
        <w:t xml:space="preserve"> quantities of unre</w:t>
      </w:r>
      <w:r>
        <w:rPr>
          <w:rFonts w:eastAsia="Times New Roman" w:cstheme="minorHAnsi"/>
          <w:color w:val="0E101A"/>
        </w:rPr>
        <w:t>ported catch</w:t>
      </w:r>
      <w:r w:rsidRPr="000A2300">
        <w:rPr>
          <w:rFonts w:eastAsia="Times New Roman" w:cstheme="minorHAnsi"/>
          <w:color w:val="0E101A"/>
        </w:rPr>
        <w:t xml:space="preserve">, to assess the legal/illegal interaction dimension (market analysis). Oyanedel et al. 2020, using sensitive questioning </w:t>
      </w:r>
      <w:r>
        <w:rPr>
          <w:rFonts w:eastAsia="Times New Roman" w:cstheme="minorHAnsi"/>
          <w:color w:val="0E101A"/>
        </w:rPr>
        <w:t xml:space="preserve">methods </w:t>
      </w:r>
      <w:r w:rsidRPr="000A2300">
        <w:rPr>
          <w:rFonts w:eastAsia="Times New Roman" w:cstheme="minorHAnsi"/>
          <w:color w:val="0E101A"/>
        </w:rPr>
        <w:t>(</w:t>
      </w:r>
      <w:r>
        <w:rPr>
          <w:rFonts w:eastAsia="Times New Roman" w:cstheme="minorHAnsi"/>
          <w:color w:val="0E101A"/>
        </w:rPr>
        <w:t xml:space="preserve">the </w:t>
      </w:r>
      <w:r w:rsidRPr="000A2300">
        <w:rPr>
          <w:rFonts w:eastAsia="Times New Roman" w:cstheme="minorHAnsi"/>
          <w:color w:val="0E101A"/>
        </w:rPr>
        <w:t>Randomised Response Technique) and direct questions, estimated un</w:t>
      </w:r>
      <w:r>
        <w:rPr>
          <w:rFonts w:eastAsia="Times New Roman" w:cstheme="minorHAnsi"/>
          <w:color w:val="0E101A"/>
        </w:rPr>
        <w:t>der-</w:t>
      </w:r>
      <w:r w:rsidRPr="000A2300">
        <w:rPr>
          <w:rFonts w:eastAsia="Times New Roman" w:cstheme="minorHAnsi"/>
          <w:color w:val="0E101A"/>
        </w:rPr>
        <w:t>reporting per trip to be</w:t>
      </w:r>
      <w:r w:rsidRPr="000A2300">
        <w:t xml:space="preserve"> </w:t>
      </w:r>
      <w:r w:rsidRPr="000A2300">
        <w:rPr>
          <w:rFonts w:eastAsia="Times New Roman" w:cstheme="minorHAnsi"/>
          <w:color w:val="0E101A"/>
        </w:rPr>
        <w:t xml:space="preserve">548.37 [SE = 66.42], and 594.54 [SE = 33.75] kg for RRT and direct questions, respectively. </w:t>
      </w:r>
      <w:r w:rsidR="00A17CC8">
        <w:rPr>
          <w:rFonts w:eastAsia="Times New Roman" w:cstheme="minorHAnsi"/>
          <w:color w:val="0E101A"/>
        </w:rPr>
        <w:t xml:space="preserve">To </w:t>
      </w:r>
      <w:r w:rsidR="00A17CC8" w:rsidRPr="000A2300">
        <w:rPr>
          <w:rFonts w:eastAsia="Times New Roman" w:cstheme="minorHAnsi"/>
          <w:color w:val="0E101A"/>
        </w:rPr>
        <w:t>extrapolat</w:t>
      </w:r>
      <w:r w:rsidR="00A17CC8">
        <w:rPr>
          <w:rFonts w:eastAsia="Times New Roman" w:cstheme="minorHAnsi"/>
          <w:color w:val="0E101A"/>
        </w:rPr>
        <w:t>e</w:t>
      </w:r>
      <w:r w:rsidR="00A17CC8" w:rsidRPr="000A2300">
        <w:rPr>
          <w:rFonts w:eastAsia="Times New Roman" w:cstheme="minorHAnsi"/>
          <w:color w:val="0E101A"/>
        </w:rPr>
        <w:t xml:space="preserve"> the</w:t>
      </w:r>
      <w:r w:rsidR="00A17CC8">
        <w:rPr>
          <w:rFonts w:eastAsia="Times New Roman" w:cstheme="minorHAnsi"/>
          <w:color w:val="0E101A"/>
        </w:rPr>
        <w:t xml:space="preserve"> </w:t>
      </w:r>
      <w:r w:rsidR="00A17CC8" w:rsidRPr="000A2300">
        <w:rPr>
          <w:rFonts w:eastAsia="Times New Roman" w:cstheme="minorHAnsi"/>
          <w:color w:val="0E101A"/>
        </w:rPr>
        <w:t>per boat/per trip unrepor</w:t>
      </w:r>
      <w:r w:rsidR="00A9182E">
        <w:rPr>
          <w:rFonts w:eastAsia="Times New Roman" w:cstheme="minorHAnsi"/>
          <w:color w:val="0E101A"/>
        </w:rPr>
        <w:t>ted catch</w:t>
      </w:r>
      <w:r w:rsidR="00A17CC8" w:rsidRPr="000A2300">
        <w:rPr>
          <w:rFonts w:eastAsia="Times New Roman" w:cstheme="minorHAnsi"/>
          <w:color w:val="0E101A"/>
        </w:rPr>
        <w:t xml:space="preserve"> rates</w:t>
      </w:r>
      <w:r w:rsidR="00A17CC8">
        <w:rPr>
          <w:rFonts w:eastAsia="Times New Roman" w:cstheme="minorHAnsi"/>
          <w:color w:val="0E101A"/>
        </w:rPr>
        <w:t xml:space="preserve"> from </w:t>
      </w:r>
      <w:r w:rsidR="00A17CC8">
        <w:rPr>
          <w:rFonts w:eastAsia="Times New Roman" w:cstheme="minorHAnsi"/>
          <w:color w:val="0E101A"/>
        </w:rPr>
        <w:fldChar w:fldCharType="begin" w:fldLock="1"/>
      </w:r>
      <w:r w:rsidR="00A17CC8">
        <w:rPr>
          <w:rFonts w:eastAsia="Times New Roman" w:cstheme="minorHAnsi"/>
          <w:color w:val="0E101A"/>
        </w:rPr>
        <w:instrText>ADDIN CSL_CITATION {"citationItems":[{"id":"ITEM-1","itemData":{"DOI":"10.1111/conl.12725","author":[{"dropping-particle":"","family":"Oyanedel","given":"Rodrigo","non-dropping-particle":"","parse-names":false,"suffix":""},{"dropping-particle":"","family":"Gelcich","given":"Stefan","non-dropping-particle":"","parse-names":false,"suffix":""},{"dropping-particle":"","family":"Milner-Gulland","given":"E J","non-dropping-particle":"","parse-names":false,"suffix":""}],"container-title":"Conservation Letters","id":"ITEM-1","issued":{"date-parts":[["2020"]]},"page":"e12725","title":"Motivations for (non-)compliance with conservation rules by small-scale resource users","type":"article-journal"},"uris":["http://www.mendeley.com/documents/?uuid=855dcd3b-79f0-4d98-9c9c-e185723b8092"]}],"mendeley":{"formattedCitation":"(Oyanedel et al., 2020)","plainTextFormattedCitation":"(Oyanedel et al., 2020)","previouslyFormattedCitation":"(Oyanedel et al., 2020)"},"properties":{"noteIndex":0},"schema":"https://github.com/citation-style-language/schema/raw/master/csl-citation.json"}</w:instrText>
      </w:r>
      <w:r w:rsidR="00A17CC8">
        <w:rPr>
          <w:rFonts w:eastAsia="Times New Roman" w:cstheme="minorHAnsi"/>
          <w:color w:val="0E101A"/>
        </w:rPr>
        <w:fldChar w:fldCharType="separate"/>
      </w:r>
      <w:r w:rsidR="00A17CC8" w:rsidRPr="00195C52">
        <w:rPr>
          <w:rFonts w:eastAsia="Times New Roman" w:cstheme="minorHAnsi"/>
          <w:noProof/>
          <w:color w:val="0E101A"/>
        </w:rPr>
        <w:t>(Oyanedel et al., 2020)</w:t>
      </w:r>
      <w:r w:rsidR="00A17CC8">
        <w:rPr>
          <w:rFonts w:eastAsia="Times New Roman" w:cstheme="minorHAnsi"/>
          <w:color w:val="0E101A"/>
        </w:rPr>
        <w:fldChar w:fldCharType="end"/>
      </w:r>
      <w:r w:rsidR="00A17CC8" w:rsidRPr="000A2300">
        <w:rPr>
          <w:rFonts w:eastAsia="Times New Roman" w:cstheme="minorHAnsi"/>
          <w:color w:val="0E101A"/>
        </w:rPr>
        <w:t xml:space="preserve"> to an overall yearly estimate</w:t>
      </w:r>
      <w:r w:rsidR="00A17CC8">
        <w:rPr>
          <w:rFonts w:eastAsia="Times New Roman" w:cstheme="minorHAnsi"/>
          <w:color w:val="0E101A"/>
        </w:rPr>
        <w:t xml:space="preserve">, </w:t>
      </w:r>
      <w:r w:rsidR="00A17CC8" w:rsidRPr="000A2300">
        <w:rPr>
          <w:rFonts w:eastAsia="Times New Roman" w:cstheme="minorHAnsi"/>
          <w:color w:val="0E101A"/>
        </w:rPr>
        <w:t>we</w:t>
      </w:r>
      <w:r w:rsidR="00A17CC8">
        <w:rPr>
          <w:rFonts w:eastAsia="Times New Roman" w:cstheme="minorHAnsi"/>
          <w:color w:val="0E101A"/>
        </w:rPr>
        <w:t xml:space="preserve"> first</w:t>
      </w:r>
      <w:r w:rsidR="00A17CC8" w:rsidRPr="000A2300">
        <w:rPr>
          <w:rFonts w:eastAsia="Times New Roman" w:cstheme="minorHAnsi"/>
          <w:color w:val="0E101A"/>
        </w:rPr>
        <w:t xml:space="preserve"> fitted a linear model with </w:t>
      </w:r>
      <w:r w:rsidR="00090ECB">
        <w:rPr>
          <w:rFonts w:eastAsia="Times New Roman" w:cstheme="minorHAnsi"/>
          <w:color w:val="0E101A"/>
        </w:rPr>
        <w:t>unreported catch</w:t>
      </w:r>
      <w:r w:rsidR="00A17CC8" w:rsidRPr="000A2300">
        <w:rPr>
          <w:rFonts w:eastAsia="Times New Roman" w:cstheme="minorHAnsi"/>
          <w:color w:val="0E101A"/>
        </w:rPr>
        <w:t xml:space="preserve"> rates as the response variable and a binomial predictor of whether boats had high or low quota. We were able to categorise boats into low or high quota based on their port of operation. From this, we obtained unreport</w:t>
      </w:r>
      <w:r w:rsidR="00D04F0D">
        <w:rPr>
          <w:rFonts w:eastAsia="Times New Roman" w:cstheme="minorHAnsi"/>
          <w:color w:val="0E101A"/>
        </w:rPr>
        <w:t>ed catch</w:t>
      </w:r>
      <w:r w:rsidR="00A17CC8" w:rsidRPr="000A2300">
        <w:rPr>
          <w:rFonts w:eastAsia="Times New Roman" w:cstheme="minorHAnsi"/>
          <w:color w:val="0E101A"/>
        </w:rPr>
        <w:t xml:space="preserve"> rates estimates for low and high quota boats. Then, from the records of SERNAPESCA, we obtained the total number of high and low quota boats in the region to calculate a region-wide per-trip estimate. Since these estimates were per trip, the second step was to calculate yearly rates of unreport</w:t>
      </w:r>
      <w:r w:rsidR="00A94629">
        <w:rPr>
          <w:rFonts w:eastAsia="Times New Roman" w:cstheme="minorHAnsi"/>
          <w:color w:val="0E101A"/>
        </w:rPr>
        <w:t>ed catch</w:t>
      </w:r>
      <w:r w:rsidR="00A17CC8" w:rsidRPr="000A2300">
        <w:rPr>
          <w:rFonts w:eastAsia="Times New Roman" w:cstheme="minorHAnsi"/>
          <w:color w:val="0E101A"/>
        </w:rPr>
        <w:t>. For this, we built two scenarios of the number of trips per boat in a year. The first one considered a 3-day local rule (high scenario), and therefore that fishers' fish three days a week for 11 months (because of a reproductive ban in September) (Oyanedel et al. 2020). For the low scenario, we obtained data from SERNAPESCA on the number of registered trips for the region between 2015-2018. From this, we calculate</w:t>
      </w:r>
      <w:r w:rsidR="00A17CC8">
        <w:rPr>
          <w:rFonts w:eastAsia="Times New Roman" w:cstheme="minorHAnsi"/>
          <w:color w:val="0E101A"/>
        </w:rPr>
        <w:t>d</w:t>
      </w:r>
      <w:r w:rsidR="00A17CC8" w:rsidRPr="000A2300">
        <w:rPr>
          <w:rFonts w:eastAsia="Times New Roman" w:cstheme="minorHAnsi"/>
          <w:color w:val="0E101A"/>
        </w:rPr>
        <w:t xml:space="preserve"> an average per boat number of trips a year. Estimates from these two scenarios were compared to the annual quota limit for the VII region.</w:t>
      </w:r>
    </w:p>
    <w:p w14:paraId="4A38F7BF" w14:textId="275FEA64" w:rsidR="00A17CC8" w:rsidRPr="00476F6C" w:rsidRDefault="00A17CC8" w:rsidP="00A17CC8">
      <w:pPr>
        <w:spacing w:line="360" w:lineRule="auto"/>
        <w:rPr>
          <w:sz w:val="22"/>
        </w:rPr>
      </w:pPr>
      <w:r>
        <w:rPr>
          <w:b/>
          <w:sz w:val="22"/>
        </w:rPr>
        <w:lastRenderedPageBreak/>
        <w:t xml:space="preserve">Supplementary </w:t>
      </w:r>
      <w:r w:rsidRPr="00476F6C">
        <w:rPr>
          <w:b/>
          <w:sz w:val="22"/>
        </w:rPr>
        <w:t>Table 3</w:t>
      </w:r>
      <w:r w:rsidRPr="00476F6C">
        <w:rPr>
          <w:sz w:val="22"/>
        </w:rPr>
        <w:t>. Quantitative estimates of unreport</w:t>
      </w:r>
      <w:r w:rsidR="001A169B">
        <w:rPr>
          <w:sz w:val="22"/>
        </w:rPr>
        <w:t>ed catch</w:t>
      </w:r>
      <w:r>
        <w:rPr>
          <w:sz w:val="22"/>
        </w:rPr>
        <w:t xml:space="preserve"> </w:t>
      </w:r>
      <w:r w:rsidRPr="00476F6C">
        <w:rPr>
          <w:sz w:val="22"/>
        </w:rPr>
        <w:t>and comparison to assigned quota</w:t>
      </w:r>
      <w:r>
        <w:rPr>
          <w:sz w:val="22"/>
        </w:rPr>
        <w:t xml:space="preserve"> in 2018</w:t>
      </w:r>
      <w:r w:rsidRPr="00476F6C">
        <w:rPr>
          <w:sz w:val="22"/>
        </w:rPr>
        <w:t xml:space="preserve"> (in tons), data from Oyanedel et al. 2020.</w:t>
      </w:r>
    </w:p>
    <w:tbl>
      <w:tblPr>
        <w:tblW w:w="9531" w:type="dxa"/>
        <w:tblBorders>
          <w:top w:val="single" w:sz="4" w:space="0" w:color="auto"/>
          <w:bottom w:val="single" w:sz="4" w:space="0" w:color="auto"/>
        </w:tblBorders>
        <w:tblLook w:val="04A0" w:firstRow="1" w:lastRow="0" w:firstColumn="1" w:lastColumn="0" w:noHBand="0" w:noVBand="1"/>
      </w:tblPr>
      <w:tblGrid>
        <w:gridCol w:w="3823"/>
        <w:gridCol w:w="3081"/>
        <w:gridCol w:w="2627"/>
      </w:tblGrid>
      <w:tr w:rsidR="00A17CC8" w:rsidRPr="00476F6C" w14:paraId="23CECE4D" w14:textId="77777777" w:rsidTr="00EE63FB">
        <w:trPr>
          <w:trHeight w:val="286"/>
        </w:trPr>
        <w:tc>
          <w:tcPr>
            <w:tcW w:w="3823" w:type="dxa"/>
            <w:tcBorders>
              <w:top w:val="single" w:sz="4" w:space="0" w:color="auto"/>
              <w:bottom w:val="single" w:sz="4" w:space="0" w:color="auto"/>
            </w:tcBorders>
            <w:shd w:val="clear" w:color="auto" w:fill="auto"/>
            <w:noWrap/>
            <w:vAlign w:val="bottom"/>
            <w:hideMark/>
          </w:tcPr>
          <w:p w14:paraId="06853355" w14:textId="77777777" w:rsidR="00A17CC8" w:rsidRPr="00476F6C" w:rsidRDefault="00A17CC8" w:rsidP="00EE63FB">
            <w:pPr>
              <w:spacing w:line="360" w:lineRule="auto"/>
              <w:rPr>
                <w:rFonts w:ascii="Calibri" w:eastAsia="Times New Roman" w:hAnsi="Calibri" w:cs="Calibri"/>
                <w:color w:val="000000"/>
                <w:sz w:val="22"/>
                <w:szCs w:val="22"/>
              </w:rPr>
            </w:pPr>
            <w:r w:rsidRPr="00476F6C">
              <w:rPr>
                <w:rFonts w:ascii="Calibri" w:eastAsia="Times New Roman" w:hAnsi="Calibri" w:cs="Calibri"/>
                <w:color w:val="000000"/>
                <w:sz w:val="22"/>
                <w:szCs w:val="22"/>
              </w:rPr>
              <w:t> </w:t>
            </w:r>
          </w:p>
        </w:tc>
        <w:tc>
          <w:tcPr>
            <w:tcW w:w="3081" w:type="dxa"/>
            <w:tcBorders>
              <w:top w:val="single" w:sz="4" w:space="0" w:color="auto"/>
              <w:bottom w:val="single" w:sz="4" w:space="0" w:color="auto"/>
            </w:tcBorders>
            <w:shd w:val="clear" w:color="auto" w:fill="auto"/>
            <w:noWrap/>
            <w:vAlign w:val="bottom"/>
            <w:hideMark/>
          </w:tcPr>
          <w:p w14:paraId="3F0EE84B" w14:textId="77777777" w:rsidR="00A17CC8" w:rsidRPr="00476F6C" w:rsidRDefault="00A17CC8" w:rsidP="00EE63FB">
            <w:pPr>
              <w:spacing w:line="360" w:lineRule="auto"/>
              <w:jc w:val="center"/>
              <w:rPr>
                <w:rFonts w:ascii="Calibri" w:eastAsia="Times New Roman" w:hAnsi="Calibri" w:cs="Calibri"/>
                <w:b/>
                <w:color w:val="000000"/>
                <w:sz w:val="22"/>
                <w:szCs w:val="22"/>
              </w:rPr>
            </w:pPr>
            <w:r w:rsidRPr="00476F6C">
              <w:rPr>
                <w:rFonts w:ascii="Calibri" w:eastAsia="Times New Roman" w:hAnsi="Calibri" w:cs="Calibri"/>
                <w:b/>
                <w:color w:val="000000"/>
                <w:sz w:val="22"/>
                <w:szCs w:val="22"/>
              </w:rPr>
              <w:t>High Scenario</w:t>
            </w:r>
          </w:p>
        </w:tc>
        <w:tc>
          <w:tcPr>
            <w:tcW w:w="2627" w:type="dxa"/>
            <w:tcBorders>
              <w:top w:val="single" w:sz="4" w:space="0" w:color="auto"/>
              <w:bottom w:val="single" w:sz="4" w:space="0" w:color="auto"/>
            </w:tcBorders>
            <w:shd w:val="clear" w:color="auto" w:fill="auto"/>
            <w:noWrap/>
            <w:vAlign w:val="bottom"/>
            <w:hideMark/>
          </w:tcPr>
          <w:p w14:paraId="39F269BA" w14:textId="77777777" w:rsidR="00A17CC8" w:rsidRPr="00476F6C" w:rsidRDefault="00A17CC8" w:rsidP="00EE63FB">
            <w:pPr>
              <w:spacing w:line="360" w:lineRule="auto"/>
              <w:jc w:val="center"/>
              <w:rPr>
                <w:rFonts w:ascii="Calibri" w:eastAsia="Times New Roman" w:hAnsi="Calibri" w:cs="Calibri"/>
                <w:b/>
                <w:color w:val="000000"/>
                <w:sz w:val="22"/>
                <w:szCs w:val="22"/>
              </w:rPr>
            </w:pPr>
            <w:r w:rsidRPr="00476F6C">
              <w:rPr>
                <w:rFonts w:ascii="Calibri" w:eastAsia="Times New Roman" w:hAnsi="Calibri" w:cs="Calibri"/>
                <w:b/>
                <w:color w:val="000000"/>
                <w:sz w:val="22"/>
                <w:szCs w:val="22"/>
              </w:rPr>
              <w:t>Low Scenario</w:t>
            </w:r>
          </w:p>
        </w:tc>
      </w:tr>
      <w:tr w:rsidR="00A17CC8" w:rsidRPr="00476F6C" w14:paraId="1E6D400F" w14:textId="77777777" w:rsidTr="00EE63FB">
        <w:trPr>
          <w:trHeight w:val="286"/>
        </w:trPr>
        <w:tc>
          <w:tcPr>
            <w:tcW w:w="3823" w:type="dxa"/>
            <w:tcBorders>
              <w:top w:val="single" w:sz="4" w:space="0" w:color="auto"/>
            </w:tcBorders>
            <w:shd w:val="clear" w:color="auto" w:fill="auto"/>
            <w:noWrap/>
            <w:vAlign w:val="bottom"/>
            <w:hideMark/>
          </w:tcPr>
          <w:p w14:paraId="4FCD2F9F" w14:textId="77777777" w:rsidR="00A17CC8" w:rsidRPr="00514644" w:rsidRDefault="00A17CC8" w:rsidP="00EE63FB">
            <w:pPr>
              <w:spacing w:line="360"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Low Quota Boats/trip (Std. Error)</w:t>
            </w:r>
          </w:p>
        </w:tc>
        <w:tc>
          <w:tcPr>
            <w:tcW w:w="5708" w:type="dxa"/>
            <w:gridSpan w:val="2"/>
            <w:tcBorders>
              <w:top w:val="single" w:sz="4" w:space="0" w:color="auto"/>
            </w:tcBorders>
            <w:shd w:val="clear" w:color="auto" w:fill="auto"/>
            <w:noWrap/>
            <w:vAlign w:val="bottom"/>
            <w:hideMark/>
          </w:tcPr>
          <w:p w14:paraId="0DA8C3D3" w14:textId="77777777" w:rsidR="00A17CC8" w:rsidRPr="00514644" w:rsidRDefault="00A17CC8" w:rsidP="00EE63FB">
            <w:pPr>
              <w:spacing w:line="360" w:lineRule="auto"/>
              <w:jc w:val="center"/>
              <w:rPr>
                <w:rFonts w:ascii="Calibri" w:eastAsia="Times New Roman" w:hAnsi="Calibri" w:cs="Calibri"/>
                <w:i/>
                <w:color w:val="000000"/>
                <w:sz w:val="22"/>
                <w:szCs w:val="22"/>
              </w:rPr>
            </w:pPr>
            <w:r w:rsidRPr="00514644">
              <w:rPr>
                <w:rFonts w:ascii="Calibri" w:eastAsia="Times New Roman" w:hAnsi="Calibri" w:cs="Calibri"/>
                <w:i/>
                <w:color w:val="000000"/>
                <w:sz w:val="22"/>
                <w:szCs w:val="22"/>
              </w:rPr>
              <w:t>0.73 (0.046)</w:t>
            </w:r>
          </w:p>
        </w:tc>
      </w:tr>
      <w:tr w:rsidR="00A17CC8" w:rsidRPr="00476F6C" w14:paraId="19DBAF4B" w14:textId="77777777" w:rsidTr="00EE63FB">
        <w:trPr>
          <w:trHeight w:val="286"/>
        </w:trPr>
        <w:tc>
          <w:tcPr>
            <w:tcW w:w="3823" w:type="dxa"/>
            <w:shd w:val="clear" w:color="auto" w:fill="auto"/>
            <w:noWrap/>
            <w:vAlign w:val="bottom"/>
            <w:hideMark/>
          </w:tcPr>
          <w:p w14:paraId="603F4116" w14:textId="77777777" w:rsidR="00A17CC8" w:rsidRPr="00514644" w:rsidRDefault="00A17CC8" w:rsidP="00EE63FB">
            <w:pPr>
              <w:spacing w:line="360"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High Quota Boats/trip (Std. Error)</w:t>
            </w:r>
          </w:p>
        </w:tc>
        <w:tc>
          <w:tcPr>
            <w:tcW w:w="5708" w:type="dxa"/>
            <w:gridSpan w:val="2"/>
            <w:shd w:val="clear" w:color="auto" w:fill="auto"/>
            <w:noWrap/>
            <w:vAlign w:val="bottom"/>
            <w:hideMark/>
          </w:tcPr>
          <w:p w14:paraId="75B0C753" w14:textId="77777777" w:rsidR="00A17CC8" w:rsidRPr="00514644" w:rsidRDefault="00A17CC8" w:rsidP="00EE63FB">
            <w:pPr>
              <w:spacing w:line="360" w:lineRule="auto"/>
              <w:jc w:val="center"/>
              <w:rPr>
                <w:rFonts w:ascii="Calibri" w:eastAsia="Times New Roman" w:hAnsi="Calibri" w:cs="Calibri"/>
                <w:i/>
                <w:color w:val="000000"/>
                <w:sz w:val="22"/>
                <w:szCs w:val="22"/>
              </w:rPr>
            </w:pPr>
            <w:r w:rsidRPr="00514644">
              <w:rPr>
                <w:rFonts w:ascii="Calibri" w:eastAsia="Times New Roman" w:hAnsi="Calibri" w:cs="Calibri"/>
                <w:i/>
                <w:color w:val="000000"/>
                <w:sz w:val="22"/>
                <w:szCs w:val="22"/>
              </w:rPr>
              <w:t>0.41 (0.063)</w:t>
            </w:r>
          </w:p>
        </w:tc>
      </w:tr>
      <w:tr w:rsidR="00A17CC8" w:rsidRPr="00476F6C" w14:paraId="216B0EFD" w14:textId="77777777" w:rsidTr="00EE63FB">
        <w:trPr>
          <w:trHeight w:val="286"/>
        </w:trPr>
        <w:tc>
          <w:tcPr>
            <w:tcW w:w="3823" w:type="dxa"/>
            <w:shd w:val="clear" w:color="auto" w:fill="auto"/>
            <w:noWrap/>
            <w:vAlign w:val="bottom"/>
            <w:hideMark/>
          </w:tcPr>
          <w:p w14:paraId="1BE098B4" w14:textId="77777777" w:rsidR="00A17CC8" w:rsidRPr="00514644" w:rsidRDefault="00A17CC8" w:rsidP="00EE63FB">
            <w:pPr>
              <w:spacing w:line="360"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 xml:space="preserve">Per year Region </w:t>
            </w:r>
          </w:p>
        </w:tc>
        <w:tc>
          <w:tcPr>
            <w:tcW w:w="3081" w:type="dxa"/>
            <w:shd w:val="clear" w:color="auto" w:fill="auto"/>
            <w:noWrap/>
            <w:vAlign w:val="bottom"/>
            <w:hideMark/>
          </w:tcPr>
          <w:p w14:paraId="124EFDAC" w14:textId="77777777" w:rsidR="00A17CC8" w:rsidRPr="00514644" w:rsidRDefault="00A17CC8" w:rsidP="00EE63FB">
            <w:pPr>
              <w:spacing w:line="360"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24204</w:t>
            </w:r>
          </w:p>
        </w:tc>
        <w:tc>
          <w:tcPr>
            <w:tcW w:w="2627" w:type="dxa"/>
            <w:shd w:val="clear" w:color="auto" w:fill="auto"/>
            <w:noWrap/>
            <w:vAlign w:val="bottom"/>
            <w:hideMark/>
          </w:tcPr>
          <w:p w14:paraId="7B665F83" w14:textId="77777777" w:rsidR="00A17CC8" w:rsidRPr="00514644" w:rsidRDefault="00A17CC8" w:rsidP="00EE63FB">
            <w:pPr>
              <w:spacing w:line="360"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6658</w:t>
            </w:r>
          </w:p>
        </w:tc>
      </w:tr>
      <w:tr w:rsidR="00A17CC8" w:rsidRPr="00476F6C" w14:paraId="4995608F" w14:textId="77777777" w:rsidTr="00EE63FB">
        <w:trPr>
          <w:trHeight w:val="286"/>
        </w:trPr>
        <w:tc>
          <w:tcPr>
            <w:tcW w:w="3823" w:type="dxa"/>
            <w:shd w:val="clear" w:color="auto" w:fill="auto"/>
            <w:noWrap/>
            <w:vAlign w:val="bottom"/>
            <w:hideMark/>
          </w:tcPr>
          <w:p w14:paraId="232AD70E" w14:textId="77777777" w:rsidR="00A17CC8" w:rsidRPr="00514644" w:rsidRDefault="00A17CC8" w:rsidP="00EE63FB">
            <w:pPr>
              <w:spacing w:line="360"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Quota</w:t>
            </w:r>
          </w:p>
        </w:tc>
        <w:tc>
          <w:tcPr>
            <w:tcW w:w="5708" w:type="dxa"/>
            <w:gridSpan w:val="2"/>
            <w:shd w:val="clear" w:color="auto" w:fill="auto"/>
            <w:noWrap/>
            <w:vAlign w:val="bottom"/>
            <w:hideMark/>
          </w:tcPr>
          <w:p w14:paraId="3D88F114" w14:textId="77777777" w:rsidR="00A17CC8" w:rsidRPr="00514644" w:rsidRDefault="00A17CC8" w:rsidP="00EE63FB">
            <w:pPr>
              <w:spacing w:line="360"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3267</w:t>
            </w:r>
          </w:p>
        </w:tc>
      </w:tr>
      <w:tr w:rsidR="00A17CC8" w:rsidRPr="00476F6C" w14:paraId="3DC35D70" w14:textId="77777777" w:rsidTr="00EE63FB">
        <w:trPr>
          <w:trHeight w:val="286"/>
        </w:trPr>
        <w:tc>
          <w:tcPr>
            <w:tcW w:w="3823" w:type="dxa"/>
            <w:shd w:val="clear" w:color="auto" w:fill="auto"/>
            <w:noWrap/>
            <w:vAlign w:val="bottom"/>
            <w:hideMark/>
          </w:tcPr>
          <w:p w14:paraId="02A6350E" w14:textId="77777777" w:rsidR="00A17CC8" w:rsidRPr="00514644" w:rsidRDefault="00A17CC8" w:rsidP="00EE63FB">
            <w:pPr>
              <w:spacing w:line="360" w:lineRule="auto"/>
              <w:rPr>
                <w:rFonts w:ascii="Calibri" w:eastAsia="Times New Roman" w:hAnsi="Calibri" w:cs="Calibri"/>
                <w:color w:val="000000"/>
                <w:sz w:val="22"/>
                <w:szCs w:val="22"/>
              </w:rPr>
            </w:pPr>
            <w:r w:rsidRPr="00514644">
              <w:rPr>
                <w:rFonts w:ascii="Calibri" w:eastAsia="Times New Roman" w:hAnsi="Calibri" w:cs="Calibri"/>
                <w:color w:val="000000"/>
                <w:sz w:val="22"/>
                <w:szCs w:val="22"/>
              </w:rPr>
              <w:t>Total Catch</w:t>
            </w:r>
          </w:p>
        </w:tc>
        <w:tc>
          <w:tcPr>
            <w:tcW w:w="3081" w:type="dxa"/>
            <w:shd w:val="clear" w:color="auto" w:fill="auto"/>
            <w:noWrap/>
            <w:vAlign w:val="bottom"/>
            <w:hideMark/>
          </w:tcPr>
          <w:p w14:paraId="3D4E0B2A" w14:textId="77777777" w:rsidR="00A17CC8" w:rsidRPr="00514644" w:rsidRDefault="00A17CC8" w:rsidP="00EE63FB">
            <w:pPr>
              <w:spacing w:line="360"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27471</w:t>
            </w:r>
          </w:p>
        </w:tc>
        <w:tc>
          <w:tcPr>
            <w:tcW w:w="2627" w:type="dxa"/>
            <w:shd w:val="clear" w:color="auto" w:fill="auto"/>
            <w:noWrap/>
            <w:vAlign w:val="bottom"/>
            <w:hideMark/>
          </w:tcPr>
          <w:p w14:paraId="760F231F" w14:textId="77777777" w:rsidR="00A17CC8" w:rsidRPr="00514644" w:rsidRDefault="00A17CC8" w:rsidP="00EE63FB">
            <w:pPr>
              <w:spacing w:line="360" w:lineRule="auto"/>
              <w:jc w:val="center"/>
              <w:rPr>
                <w:rFonts w:ascii="Calibri" w:eastAsia="Times New Roman" w:hAnsi="Calibri" w:cs="Calibri"/>
                <w:color w:val="000000"/>
                <w:sz w:val="22"/>
                <w:szCs w:val="22"/>
              </w:rPr>
            </w:pPr>
            <w:r w:rsidRPr="00514644">
              <w:rPr>
                <w:rFonts w:ascii="Calibri" w:eastAsia="Times New Roman" w:hAnsi="Calibri" w:cs="Calibri"/>
                <w:color w:val="000000"/>
                <w:sz w:val="22"/>
                <w:szCs w:val="22"/>
              </w:rPr>
              <w:t>9925</w:t>
            </w:r>
          </w:p>
        </w:tc>
      </w:tr>
      <w:tr w:rsidR="00275A83" w:rsidRPr="00476F6C" w14:paraId="28D8B5E5" w14:textId="77777777" w:rsidTr="00EE63FB">
        <w:trPr>
          <w:trHeight w:val="286"/>
        </w:trPr>
        <w:tc>
          <w:tcPr>
            <w:tcW w:w="3823" w:type="dxa"/>
            <w:shd w:val="clear" w:color="auto" w:fill="auto"/>
            <w:noWrap/>
            <w:vAlign w:val="bottom"/>
            <w:hideMark/>
          </w:tcPr>
          <w:p w14:paraId="46C2E446" w14:textId="77777777" w:rsidR="00275A83" w:rsidRPr="00514644" w:rsidRDefault="00275A83" w:rsidP="00EE63FB">
            <w:pPr>
              <w:spacing w:line="360" w:lineRule="auto"/>
              <w:rPr>
                <w:rFonts w:ascii="Calibri" w:eastAsia="Times New Roman" w:hAnsi="Calibri" w:cs="Calibri"/>
                <w:b/>
                <w:bCs/>
                <w:color w:val="000000"/>
                <w:sz w:val="22"/>
                <w:szCs w:val="22"/>
              </w:rPr>
            </w:pPr>
            <w:r w:rsidRPr="00514644">
              <w:rPr>
                <w:rFonts w:ascii="Calibri" w:eastAsia="Times New Roman" w:hAnsi="Calibri" w:cs="Calibri"/>
                <w:b/>
                <w:bCs/>
                <w:color w:val="000000"/>
                <w:sz w:val="22"/>
                <w:szCs w:val="22"/>
              </w:rPr>
              <w:t>Unreported Catch (%)</w:t>
            </w:r>
          </w:p>
        </w:tc>
        <w:tc>
          <w:tcPr>
            <w:tcW w:w="3081" w:type="dxa"/>
            <w:shd w:val="clear" w:color="auto" w:fill="auto"/>
            <w:noWrap/>
            <w:vAlign w:val="bottom"/>
            <w:hideMark/>
          </w:tcPr>
          <w:p w14:paraId="3DBC2952" w14:textId="77777777" w:rsidR="00275A83" w:rsidRPr="00514644" w:rsidRDefault="00275A83" w:rsidP="00EE63FB">
            <w:pPr>
              <w:spacing w:line="360" w:lineRule="auto"/>
              <w:jc w:val="center"/>
              <w:rPr>
                <w:rFonts w:ascii="Calibri" w:eastAsia="Times New Roman" w:hAnsi="Calibri" w:cs="Calibri"/>
                <w:b/>
                <w:bCs/>
                <w:color w:val="000000"/>
                <w:sz w:val="22"/>
                <w:szCs w:val="22"/>
              </w:rPr>
            </w:pPr>
            <w:r w:rsidRPr="00514644">
              <w:rPr>
                <w:rFonts w:ascii="Calibri" w:eastAsia="Times New Roman" w:hAnsi="Calibri" w:cs="Calibri"/>
                <w:b/>
                <w:bCs/>
                <w:color w:val="000000"/>
                <w:sz w:val="22"/>
                <w:szCs w:val="22"/>
              </w:rPr>
              <w:t>88</w:t>
            </w:r>
          </w:p>
        </w:tc>
        <w:tc>
          <w:tcPr>
            <w:tcW w:w="2627" w:type="dxa"/>
            <w:shd w:val="clear" w:color="auto" w:fill="auto"/>
            <w:noWrap/>
            <w:vAlign w:val="bottom"/>
            <w:hideMark/>
          </w:tcPr>
          <w:p w14:paraId="768A0B19" w14:textId="77777777" w:rsidR="00275A83" w:rsidRPr="00514644" w:rsidRDefault="00275A83" w:rsidP="00EE63FB">
            <w:pPr>
              <w:spacing w:line="360" w:lineRule="auto"/>
              <w:jc w:val="center"/>
              <w:rPr>
                <w:rFonts w:ascii="Calibri" w:eastAsia="Times New Roman" w:hAnsi="Calibri" w:cs="Calibri"/>
                <w:b/>
                <w:bCs/>
                <w:color w:val="000000"/>
                <w:sz w:val="22"/>
                <w:szCs w:val="22"/>
              </w:rPr>
            </w:pPr>
            <w:r w:rsidRPr="00514644">
              <w:rPr>
                <w:rFonts w:ascii="Calibri" w:eastAsia="Times New Roman" w:hAnsi="Calibri" w:cs="Calibri"/>
                <w:b/>
                <w:bCs/>
                <w:color w:val="000000"/>
                <w:sz w:val="22"/>
                <w:szCs w:val="22"/>
              </w:rPr>
              <w:t>67</w:t>
            </w:r>
          </w:p>
        </w:tc>
      </w:tr>
    </w:tbl>
    <w:p w14:paraId="1B538907" w14:textId="77777777" w:rsidR="00A17CC8" w:rsidRPr="000A2300" w:rsidRDefault="00A17CC8" w:rsidP="00745490">
      <w:pPr>
        <w:spacing w:line="360" w:lineRule="auto"/>
        <w:ind w:firstLine="643"/>
        <w:rPr>
          <w:rFonts w:eastAsia="Times New Roman" w:cstheme="minorHAnsi"/>
          <w:color w:val="0E101A"/>
        </w:rPr>
      </w:pPr>
    </w:p>
    <w:p w14:paraId="436EDB10" w14:textId="77777777" w:rsidR="000A5607" w:rsidRPr="000A2300" w:rsidRDefault="000A5607" w:rsidP="00745490">
      <w:pPr>
        <w:spacing w:line="360" w:lineRule="auto"/>
        <w:rPr>
          <w:rFonts w:eastAsia="Times New Roman" w:cstheme="minorHAnsi"/>
          <w:color w:val="0E101A"/>
        </w:rPr>
      </w:pPr>
    </w:p>
    <w:p w14:paraId="0ED6DFBD" w14:textId="77777777" w:rsidR="000A5607" w:rsidRPr="000A2300" w:rsidRDefault="000A5607" w:rsidP="00745490">
      <w:pPr>
        <w:pStyle w:val="ListParagraph"/>
        <w:numPr>
          <w:ilvl w:val="1"/>
          <w:numId w:val="8"/>
        </w:numPr>
        <w:spacing w:line="360" w:lineRule="auto"/>
        <w:rPr>
          <w:b/>
        </w:rPr>
      </w:pPr>
      <w:r w:rsidRPr="00476F6C">
        <w:rPr>
          <w:b/>
          <w:i/>
          <w:iCs/>
        </w:rPr>
        <w:t xml:space="preserve">Econometric </w:t>
      </w:r>
      <w:r>
        <w:rPr>
          <w:b/>
          <w:i/>
          <w:iCs/>
        </w:rPr>
        <w:t>Model</w:t>
      </w:r>
    </w:p>
    <w:p w14:paraId="645210DA" w14:textId="0F30CB5D" w:rsidR="000A5607" w:rsidRDefault="000A5607" w:rsidP="00745490">
      <w:pPr>
        <w:spacing w:line="360" w:lineRule="auto"/>
        <w:ind w:firstLine="720"/>
        <w:rPr>
          <w:rFonts w:eastAsia="Times New Roman" w:cstheme="minorHAnsi"/>
          <w:color w:val="0E101A"/>
        </w:rPr>
      </w:pPr>
      <w:r>
        <w:rPr>
          <w:rFonts w:eastAsia="Times New Roman" w:cstheme="minorHAnsi"/>
          <w:color w:val="0E101A"/>
        </w:rPr>
        <w:t>We used an</w:t>
      </w:r>
      <w:r w:rsidRPr="000A2300">
        <w:rPr>
          <w:rFonts w:eastAsia="Times New Roman" w:cstheme="minorHAnsi"/>
          <w:color w:val="0E101A"/>
        </w:rPr>
        <w:t xml:space="preserve"> econometric model</w:t>
      </w:r>
      <w:r>
        <w:rPr>
          <w:rFonts w:eastAsia="Times New Roman" w:cstheme="minorHAnsi"/>
          <w:color w:val="0E101A"/>
        </w:rPr>
        <w:t xml:space="preserve"> </w:t>
      </w:r>
      <w:r w:rsidRPr="000A2300">
        <w:rPr>
          <w:rFonts w:eastAsia="Times New Roman" w:cstheme="minorHAnsi"/>
          <w:color w:val="0E101A"/>
        </w:rPr>
        <w:t>to assess the quantity and price determinant dimension of the market analysis</w:t>
      </w:r>
      <w:r>
        <w:rPr>
          <w:rFonts w:eastAsia="Times New Roman" w:cstheme="minorHAnsi"/>
          <w:color w:val="0E101A"/>
        </w:rPr>
        <w:t xml:space="preserve"> level</w:t>
      </w:r>
      <w:r w:rsidRPr="000A2300">
        <w:rPr>
          <w:rFonts w:eastAsia="Times New Roman" w:cstheme="minorHAnsi"/>
          <w:color w:val="0E101A"/>
        </w:rPr>
        <w:t xml:space="preserve">. We used three different datasets from the </w:t>
      </w:r>
      <w:r>
        <w:rPr>
          <w:rFonts w:eastAsia="Times New Roman" w:cstheme="minorHAnsi"/>
          <w:color w:val="0E101A"/>
        </w:rPr>
        <w:t xml:space="preserve">Chilean </w:t>
      </w:r>
      <w:r w:rsidRPr="000A2300">
        <w:rPr>
          <w:rFonts w:eastAsia="Times New Roman" w:cstheme="minorHAnsi"/>
          <w:color w:val="0E101A"/>
        </w:rPr>
        <w:t>government. First, legal landings data</w:t>
      </w:r>
      <w:r>
        <w:rPr>
          <w:rFonts w:eastAsia="Times New Roman" w:cstheme="minorHAnsi"/>
          <w:color w:val="0E101A"/>
        </w:rPr>
        <w:t xml:space="preserve"> which </w:t>
      </w:r>
      <w:r w:rsidRPr="000A2300">
        <w:rPr>
          <w:rFonts w:eastAsia="Times New Roman" w:cstheme="minorHAnsi"/>
          <w:color w:val="0E101A"/>
        </w:rPr>
        <w:t xml:space="preserve">included anonymised legal transaction (reporting) from fishers to intermediaries per day for the 2014-2019 period in the VII region. We collapsed this daily data into monthly data for posterior analysis. </w:t>
      </w:r>
      <w:r>
        <w:rPr>
          <w:rFonts w:eastAsia="Times New Roman" w:cstheme="minorHAnsi"/>
          <w:color w:val="0E101A"/>
        </w:rPr>
        <w:t>Second,</w:t>
      </w:r>
      <w:r w:rsidRPr="000A2300">
        <w:rPr>
          <w:rFonts w:eastAsia="Times New Roman" w:cstheme="minorHAnsi"/>
          <w:color w:val="0E101A"/>
        </w:rPr>
        <w:t xml:space="preserve"> we </w:t>
      </w:r>
      <w:r>
        <w:rPr>
          <w:rFonts w:eastAsia="Times New Roman" w:cstheme="minorHAnsi"/>
          <w:color w:val="0E101A"/>
        </w:rPr>
        <w:t xml:space="preserve">used data on </w:t>
      </w:r>
      <w:r w:rsidRPr="000A2300">
        <w:rPr>
          <w:rFonts w:eastAsia="Times New Roman" w:cstheme="minorHAnsi"/>
          <w:color w:val="0E101A"/>
        </w:rPr>
        <w:t>enforcement effort by government authorit</w:t>
      </w:r>
      <w:r>
        <w:rPr>
          <w:rFonts w:eastAsia="Times New Roman" w:cstheme="minorHAnsi"/>
          <w:color w:val="0E101A"/>
        </w:rPr>
        <w:t>ies</w:t>
      </w:r>
      <w:r w:rsidRPr="000A2300">
        <w:rPr>
          <w:rFonts w:eastAsia="Times New Roman" w:cstheme="minorHAnsi"/>
          <w:color w:val="0E101A"/>
        </w:rPr>
        <w:t>. This dataset included all enforcement activities done per day for the 2014-2019 period. We counted the number of enforcement activities per month in the VII region to obtain monthly enforcement indexes. Lastly, we explored average monthly ex-vessel price in the 2014-2019 period for common hake, as well as pacific pomfret (</w:t>
      </w:r>
      <w:proofErr w:type="spellStart"/>
      <w:r w:rsidRPr="000A2300">
        <w:rPr>
          <w:rFonts w:eastAsia="Times New Roman" w:cstheme="minorHAnsi"/>
          <w:i/>
          <w:iCs/>
          <w:color w:val="0E101A"/>
        </w:rPr>
        <w:t>Brama</w:t>
      </w:r>
      <w:proofErr w:type="spellEnd"/>
      <w:r w:rsidRPr="000A2300">
        <w:rPr>
          <w:rFonts w:eastAsia="Times New Roman" w:cstheme="minorHAnsi"/>
          <w:i/>
          <w:iCs/>
          <w:color w:val="0E101A"/>
        </w:rPr>
        <w:t xml:space="preserve"> </w:t>
      </w:r>
      <w:proofErr w:type="spellStart"/>
      <w:r w:rsidRPr="000A2300">
        <w:rPr>
          <w:rFonts w:eastAsia="Times New Roman" w:cstheme="minorHAnsi"/>
          <w:i/>
          <w:iCs/>
          <w:color w:val="0E101A"/>
        </w:rPr>
        <w:t>australis</w:t>
      </w:r>
      <w:proofErr w:type="spellEnd"/>
      <w:r w:rsidRPr="000A2300">
        <w:rPr>
          <w:rFonts w:eastAsia="Times New Roman" w:cstheme="minorHAnsi"/>
          <w:color w:val="0E101A"/>
        </w:rPr>
        <w:t>)</w:t>
      </w:r>
      <w:r>
        <w:rPr>
          <w:rFonts w:eastAsia="Times New Roman" w:cstheme="minorHAnsi"/>
          <w:color w:val="0E101A"/>
        </w:rPr>
        <w:t xml:space="preserve"> at the country level</w:t>
      </w:r>
      <w:r w:rsidRPr="000A2300">
        <w:rPr>
          <w:rFonts w:eastAsia="Times New Roman" w:cstheme="minorHAnsi"/>
          <w:color w:val="0E101A"/>
        </w:rPr>
        <w:t xml:space="preserve">. Pacific pomfret is an important fishery in the VII region of the country, in which common hake fishers actively participate. A log-log linear model was fitted using reported landings as a response variable and prices of </w:t>
      </w:r>
      <w:r>
        <w:rPr>
          <w:rFonts w:eastAsia="Times New Roman" w:cstheme="minorHAnsi"/>
          <w:color w:val="0E101A"/>
        </w:rPr>
        <w:t xml:space="preserve">common </w:t>
      </w:r>
      <w:r w:rsidRPr="000A2300">
        <w:rPr>
          <w:rFonts w:eastAsia="Times New Roman" w:cstheme="minorHAnsi"/>
          <w:color w:val="0E101A"/>
        </w:rPr>
        <w:t>hake, pacific pomfret and enforcement indexes as predictor variables. Year and four seasons (Jan-Feb, Eastern (March-April), May-Jul, Aug-Dec) were used as dummy variables to account for temporal variation in reported landings</w:t>
      </w:r>
      <w:r>
        <w:rPr>
          <w:rFonts w:eastAsia="Times New Roman" w:cstheme="minorHAnsi"/>
          <w:color w:val="0E101A"/>
        </w:rPr>
        <w:t xml:space="preserve">. </w:t>
      </w:r>
      <w:r w:rsidRPr="000A2300">
        <w:rPr>
          <w:rFonts w:eastAsia="Times New Roman" w:cstheme="minorHAnsi"/>
          <w:color w:val="0E101A"/>
        </w:rPr>
        <w:t xml:space="preserve">September was removed from the analysis because of </w:t>
      </w:r>
      <w:r>
        <w:rPr>
          <w:rFonts w:eastAsia="Times New Roman" w:cstheme="minorHAnsi"/>
          <w:color w:val="0E101A"/>
        </w:rPr>
        <w:t xml:space="preserve">a fishing </w:t>
      </w:r>
      <w:r w:rsidRPr="000A2300">
        <w:rPr>
          <w:rFonts w:eastAsia="Times New Roman" w:cstheme="minorHAnsi"/>
          <w:color w:val="0E101A"/>
        </w:rPr>
        <w:t>ban that prevents reporting of</w:t>
      </w:r>
      <w:r>
        <w:rPr>
          <w:rFonts w:eastAsia="Times New Roman" w:cstheme="minorHAnsi"/>
          <w:color w:val="0E101A"/>
        </w:rPr>
        <w:t xml:space="preserve"> common</w:t>
      </w:r>
      <w:r w:rsidRPr="000A2300">
        <w:rPr>
          <w:rFonts w:eastAsia="Times New Roman" w:cstheme="minorHAnsi"/>
          <w:color w:val="0E101A"/>
        </w:rPr>
        <w:t xml:space="preserve"> hake.</w:t>
      </w:r>
    </w:p>
    <w:p w14:paraId="5DF6779D" w14:textId="31009D5E" w:rsidR="00275A83" w:rsidRDefault="00275A83" w:rsidP="00745490">
      <w:pPr>
        <w:spacing w:line="360" w:lineRule="auto"/>
        <w:ind w:firstLine="720"/>
        <w:rPr>
          <w:rFonts w:eastAsia="Times New Roman" w:cstheme="minorHAnsi"/>
          <w:color w:val="0E101A"/>
        </w:rPr>
      </w:pPr>
    </w:p>
    <w:p w14:paraId="40260833" w14:textId="77777777" w:rsidR="00275A83" w:rsidRDefault="00275A83" w:rsidP="00275A83">
      <w:pPr>
        <w:spacing w:line="360" w:lineRule="auto"/>
        <w:ind w:firstLine="720"/>
      </w:pPr>
      <w:r>
        <w:t>We took several steps to validate the econometric model. First, we tested whether the response variable (supply of common hake) was stationary using a Dickey-Fuller test. We found that it was non-stationary (</w:t>
      </w:r>
      <w:r w:rsidRPr="007D3C13">
        <w:t>Dickey-Fuller = -3.2423, p-value = 0.08865</w:t>
      </w:r>
      <w:r>
        <w:t xml:space="preserve">, </w:t>
      </w:r>
      <w:proofErr w:type="spellStart"/>
      <w:r>
        <w:t>Ho</w:t>
      </w:r>
      <w:proofErr w:type="spellEnd"/>
      <w:r>
        <w:t xml:space="preserve"> = non-</w:t>
      </w:r>
      <w:r>
        <w:lastRenderedPageBreak/>
        <w:t xml:space="preserve">stationary). However, after replacing two outliers (data points 12 and 13, January and February 2015) for an average of the values of </w:t>
      </w:r>
      <w:r w:rsidRPr="002E5C28">
        <w:t xml:space="preserve">their corresponding month </w:t>
      </w:r>
      <w:r>
        <w:t>across years, the Dickey-Fuller test show that the landings data was stationary (</w:t>
      </w:r>
      <w:r w:rsidRPr="007D3C13">
        <w:t xml:space="preserve">Dickey-Fuller = </w:t>
      </w:r>
      <w:r w:rsidRPr="009B4CD1">
        <w:t>-3.6729</w:t>
      </w:r>
      <w:r w:rsidRPr="007D3C13">
        <w:t xml:space="preserve">, p-value = </w:t>
      </w:r>
      <w:r w:rsidRPr="009B4CD1">
        <w:t>0.03402</w:t>
      </w:r>
      <w:r>
        <w:t xml:space="preserve">, </w:t>
      </w:r>
      <w:proofErr w:type="spellStart"/>
      <w:r>
        <w:t>Ho</w:t>
      </w:r>
      <w:proofErr w:type="spellEnd"/>
      <w:r>
        <w:t xml:space="preserve"> = non-stationary). Concurrently, we proceeded with the analysis using the dataset with the replaced values.</w:t>
      </w:r>
    </w:p>
    <w:p w14:paraId="0E156326" w14:textId="77777777" w:rsidR="00275A83" w:rsidRDefault="00275A83" w:rsidP="00275A83">
      <w:pPr>
        <w:spacing w:line="360" w:lineRule="auto"/>
      </w:pPr>
    </w:p>
    <w:p w14:paraId="7FA1FCCE" w14:textId="54A47A1B" w:rsidR="00275A83" w:rsidRPr="00075323" w:rsidRDefault="00275A83" w:rsidP="00075323">
      <w:pPr>
        <w:spacing w:line="360" w:lineRule="auto"/>
        <w:ind w:firstLine="720"/>
      </w:pPr>
      <w:r>
        <w:t xml:space="preserve">We then use a Ramsey’ RESET test for functional form to validate the choice of using a log-log model. Results supported the hypothesis that the model was correctly specified (RESET = </w:t>
      </w:r>
      <w:r w:rsidRPr="00CB6035">
        <w:t>2.89</w:t>
      </w:r>
      <w:r>
        <w:t xml:space="preserve">, </w:t>
      </w:r>
      <w:r w:rsidRPr="00CB6035">
        <w:t>p-value = 0.06431</w:t>
      </w:r>
      <w:r>
        <w:t xml:space="preserve">, </w:t>
      </w:r>
      <w:proofErr w:type="spellStart"/>
      <w:r>
        <w:t>Ho</w:t>
      </w:r>
      <w:proofErr w:type="spellEnd"/>
      <w:r>
        <w:t xml:space="preserve"> = model is correctly specified). We tested for multicollinearity between predictive variables using </w:t>
      </w:r>
      <w:r w:rsidRPr="009D7DF3">
        <w:t xml:space="preserve">Variance Inflation Factors (VIF) </w:t>
      </w:r>
      <w:r>
        <w:t xml:space="preserve">and found that </w:t>
      </w:r>
      <w:r w:rsidRPr="00323E77">
        <w:t>﻿</w:t>
      </w:r>
      <w:r>
        <w:t>a</w:t>
      </w:r>
      <w:r w:rsidRPr="00323E77">
        <w:t xml:space="preserve">ll predictor variables </w:t>
      </w:r>
      <w:r>
        <w:t>had</w:t>
      </w:r>
      <w:r w:rsidRPr="00323E77">
        <w:t xml:space="preserve"> VIF values&lt;</w:t>
      </w:r>
      <w:r>
        <w:t>3</w:t>
      </w:r>
      <w:r w:rsidRPr="00323E77">
        <w:t>.</w:t>
      </w:r>
      <w:r>
        <w:t>3, showing no multicollinearity. We used a s</w:t>
      </w:r>
      <w:r w:rsidRPr="00E41D6C">
        <w:t>tudentized Breusch-Pagan test</w:t>
      </w:r>
      <w:r>
        <w:t xml:space="preserve"> for residual heteroskedasticity, and found no heteroskedastic residuals (</w:t>
      </w:r>
      <w:r w:rsidRPr="00043B83">
        <w:t>BP = 16.496, p-value = 0.1237</w:t>
      </w:r>
      <w:r>
        <w:t xml:space="preserve">, </w:t>
      </w:r>
      <w:proofErr w:type="spellStart"/>
      <w:r>
        <w:t>Ho</w:t>
      </w:r>
      <w:proofErr w:type="spellEnd"/>
      <w:r>
        <w:t xml:space="preserve"> = </w:t>
      </w:r>
      <w:r w:rsidRPr="00043B83">
        <w:t>variance of the residuals is constant</w:t>
      </w:r>
      <w:r>
        <w:t>). We tested serial residual autocorrelation with Durbin-Watson test and found no autocorrelation of residuals (Autocorrelation=</w:t>
      </w:r>
      <w:r w:rsidRPr="00D0272B">
        <w:t>0.0401</w:t>
      </w:r>
      <w:r>
        <w:t xml:space="preserve">, </w:t>
      </w:r>
      <w:r w:rsidRPr="00043B83">
        <w:t xml:space="preserve">p-value = </w:t>
      </w:r>
      <w:r w:rsidRPr="00D0272B">
        <w:t>0.188</w:t>
      </w:r>
      <w:r>
        <w:t xml:space="preserve">, </w:t>
      </w:r>
      <w:proofErr w:type="spellStart"/>
      <w:r>
        <w:t>Ho</w:t>
      </w:r>
      <w:proofErr w:type="spellEnd"/>
      <w:r>
        <w:t xml:space="preserve"> = no autocorrelation). Finally, we tested residual stationarity with a Dickey-Fuller test and found residuals were stationary (</w:t>
      </w:r>
      <w:r w:rsidRPr="000162F0">
        <w:t>Dickey-Fuller = -4.2384, p-value = 0.01</w:t>
      </w:r>
      <w:r>
        <w:t xml:space="preserve">, </w:t>
      </w:r>
      <w:proofErr w:type="spellStart"/>
      <w:r>
        <w:t>Ho</w:t>
      </w:r>
      <w:proofErr w:type="spellEnd"/>
      <w:r>
        <w:t xml:space="preserve"> = residuals are non-stationary).</w:t>
      </w:r>
    </w:p>
    <w:p w14:paraId="72D5D7DE" w14:textId="77777777" w:rsidR="008B092D" w:rsidRDefault="008B092D" w:rsidP="00075323">
      <w:pPr>
        <w:spacing w:line="360" w:lineRule="auto"/>
        <w:rPr>
          <w:rFonts w:eastAsia="Times New Roman" w:cstheme="minorHAnsi"/>
          <w:color w:val="0E101A"/>
        </w:rPr>
      </w:pPr>
    </w:p>
    <w:p w14:paraId="5DCD2314" w14:textId="77777777" w:rsidR="008B092D" w:rsidRDefault="008B092D" w:rsidP="00075323">
      <w:pPr>
        <w:spacing w:line="360" w:lineRule="auto"/>
        <w:rPr>
          <w:b/>
        </w:rPr>
      </w:pPr>
    </w:p>
    <w:p w14:paraId="5D959BC0" w14:textId="77777777" w:rsidR="008B092D" w:rsidRDefault="008B092D" w:rsidP="00075323">
      <w:pPr>
        <w:spacing w:line="360" w:lineRule="auto"/>
        <w:rPr>
          <w:b/>
        </w:rPr>
      </w:pPr>
    </w:p>
    <w:p w14:paraId="1C1B049A" w14:textId="77777777" w:rsidR="008B092D" w:rsidRDefault="008B092D" w:rsidP="00075323">
      <w:pPr>
        <w:spacing w:line="360" w:lineRule="auto"/>
        <w:rPr>
          <w:b/>
        </w:rPr>
      </w:pPr>
    </w:p>
    <w:p w14:paraId="1646E9E6" w14:textId="3230FB07" w:rsidR="00082494" w:rsidRPr="008B092D" w:rsidRDefault="00082494" w:rsidP="00075323">
      <w:pPr>
        <w:spacing w:line="360" w:lineRule="auto"/>
        <w:rPr>
          <w:rFonts w:eastAsia="Times New Roman" w:cstheme="minorHAnsi"/>
          <w:color w:val="0E101A"/>
        </w:rPr>
      </w:pPr>
      <w:r w:rsidRPr="00082494">
        <w:rPr>
          <w:b/>
        </w:rPr>
        <w:t>References</w:t>
      </w:r>
    </w:p>
    <w:p w14:paraId="40A77EF2" w14:textId="758D8141" w:rsidR="00082494" w:rsidRPr="00082494" w:rsidRDefault="00082494" w:rsidP="00745490">
      <w:pPr>
        <w:widowControl w:val="0"/>
        <w:autoSpaceDE w:val="0"/>
        <w:autoSpaceDN w:val="0"/>
        <w:adjustRightInd w:val="0"/>
        <w:spacing w:line="360" w:lineRule="auto"/>
        <w:ind w:left="480" w:hanging="480"/>
        <w:rPr>
          <w:rFonts w:ascii="Calibri" w:hAnsi="Calibri" w:cs="Calibri"/>
          <w:noProof/>
          <w:sz w:val="22"/>
          <w:lang w:val="en-US"/>
        </w:rPr>
      </w:pPr>
      <w:r w:rsidRPr="00082494">
        <w:rPr>
          <w:sz w:val="22"/>
        </w:rPr>
        <w:fldChar w:fldCharType="begin" w:fldLock="1"/>
      </w:r>
      <w:r w:rsidRPr="00082494">
        <w:rPr>
          <w:sz w:val="22"/>
        </w:rPr>
        <w:instrText xml:space="preserve">ADDIN Mendeley Bibliography CSL_BIBLIOGRAPHY </w:instrText>
      </w:r>
      <w:r w:rsidRPr="00082494">
        <w:rPr>
          <w:sz w:val="22"/>
        </w:rPr>
        <w:fldChar w:fldCharType="separate"/>
      </w:r>
      <w:r w:rsidRPr="00082494">
        <w:rPr>
          <w:rFonts w:ascii="Calibri" w:hAnsi="Calibri" w:cs="Calibri"/>
          <w:noProof/>
          <w:sz w:val="22"/>
          <w:lang w:val="en-US"/>
        </w:rPr>
        <w:t xml:space="preserve">Kluge, S. (2000). Empirically Grounded Construction of Types and Typologies in Qualitative Social Research. </w:t>
      </w:r>
      <w:r w:rsidRPr="00082494">
        <w:rPr>
          <w:rFonts w:ascii="Calibri" w:hAnsi="Calibri" w:cs="Calibri"/>
          <w:i/>
          <w:iCs/>
          <w:noProof/>
          <w:sz w:val="22"/>
          <w:lang w:val="en-US"/>
        </w:rPr>
        <w:t>Forum Qualitative Sozialforschung / Forum: Qualitative Social Research</w:t>
      </w:r>
      <w:r w:rsidRPr="00082494">
        <w:rPr>
          <w:rFonts w:ascii="Calibri" w:hAnsi="Calibri" w:cs="Calibri"/>
          <w:noProof/>
          <w:sz w:val="22"/>
          <w:lang w:val="en-US"/>
        </w:rPr>
        <w:t xml:space="preserve">, </w:t>
      </w:r>
      <w:r w:rsidRPr="00082494">
        <w:rPr>
          <w:rFonts w:ascii="Calibri" w:hAnsi="Calibri" w:cs="Calibri"/>
          <w:i/>
          <w:iCs/>
          <w:noProof/>
          <w:sz w:val="22"/>
          <w:lang w:val="en-US"/>
        </w:rPr>
        <w:t>1</w:t>
      </w:r>
      <w:r w:rsidRPr="00082494">
        <w:rPr>
          <w:rFonts w:ascii="Calibri" w:hAnsi="Calibri" w:cs="Calibri"/>
          <w:noProof/>
          <w:sz w:val="22"/>
          <w:lang w:val="en-US"/>
        </w:rPr>
        <w:t>(1). https://doi.org/10.17169/fqs-1.1.1124</w:t>
      </w:r>
    </w:p>
    <w:p w14:paraId="74BDEA45" w14:textId="77777777" w:rsidR="00082494" w:rsidRPr="00082494" w:rsidRDefault="00082494" w:rsidP="00745490">
      <w:pPr>
        <w:widowControl w:val="0"/>
        <w:autoSpaceDE w:val="0"/>
        <w:autoSpaceDN w:val="0"/>
        <w:adjustRightInd w:val="0"/>
        <w:spacing w:line="360" w:lineRule="auto"/>
        <w:ind w:left="480" w:hanging="480"/>
        <w:rPr>
          <w:rFonts w:ascii="Calibri" w:hAnsi="Calibri" w:cs="Calibri"/>
          <w:noProof/>
          <w:sz w:val="22"/>
        </w:rPr>
      </w:pPr>
      <w:r w:rsidRPr="00082494">
        <w:rPr>
          <w:rFonts w:ascii="Calibri" w:hAnsi="Calibri" w:cs="Calibri"/>
          <w:noProof/>
          <w:sz w:val="22"/>
          <w:lang w:val="en-US"/>
        </w:rPr>
        <w:t xml:space="preserve">Oyanedel, R., Gelcich, S., &amp; Milner-Gulland, E. J. (2020). Motivations for (non-)compliance with conservation rules by small-scale resource users. </w:t>
      </w:r>
      <w:r w:rsidRPr="00082494">
        <w:rPr>
          <w:rFonts w:ascii="Calibri" w:hAnsi="Calibri" w:cs="Calibri"/>
          <w:i/>
          <w:iCs/>
          <w:noProof/>
          <w:sz w:val="22"/>
          <w:lang w:val="en-US"/>
        </w:rPr>
        <w:t>Conservation Letters</w:t>
      </w:r>
      <w:r w:rsidRPr="00082494">
        <w:rPr>
          <w:rFonts w:ascii="Calibri" w:hAnsi="Calibri" w:cs="Calibri"/>
          <w:noProof/>
          <w:sz w:val="22"/>
          <w:lang w:val="en-US"/>
        </w:rPr>
        <w:t>, e12725. https://doi.org/10.1111/conl.12725</w:t>
      </w:r>
    </w:p>
    <w:p w14:paraId="4CBF165A" w14:textId="61EDF59C" w:rsidR="00082494" w:rsidRDefault="00082494" w:rsidP="00745490">
      <w:pPr>
        <w:spacing w:line="360" w:lineRule="auto"/>
      </w:pPr>
      <w:r w:rsidRPr="00082494">
        <w:rPr>
          <w:sz w:val="22"/>
        </w:rPr>
        <w:fldChar w:fldCharType="end"/>
      </w:r>
    </w:p>
    <w:sectPr w:rsidR="00082494" w:rsidSect="00290419">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44FC1"/>
    <w:multiLevelType w:val="hybridMultilevel"/>
    <w:tmpl w:val="036CBC6A"/>
    <w:lvl w:ilvl="0" w:tplc="FA60FC50">
      <w:start w:val="1"/>
      <w:numFmt w:val="lowerLetter"/>
      <w:lvlText w:val="%1)"/>
      <w:lvlJc w:val="left"/>
      <w:pPr>
        <w:ind w:left="644" w:hanging="360"/>
      </w:pPr>
      <w:rPr>
        <w:rFonts w:hint="default"/>
        <w:sz w:val="32"/>
      </w:rPr>
    </w:lvl>
    <w:lvl w:ilvl="1" w:tplc="0409001B">
      <w:start w:val="1"/>
      <w:numFmt w:val="lowerRoman"/>
      <w:lvlText w:val="%2."/>
      <w:lvlJc w:val="right"/>
      <w:pPr>
        <w:ind w:left="1069"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3F3529"/>
    <w:multiLevelType w:val="hybridMultilevel"/>
    <w:tmpl w:val="2BC4450C"/>
    <w:lvl w:ilvl="0" w:tplc="ACAE2F80">
      <w:start w:val="2"/>
      <w:numFmt w:val="bullet"/>
      <w:lvlText w:val="-"/>
      <w:lvlJc w:val="left"/>
      <w:pPr>
        <w:ind w:left="643" w:hanging="360"/>
      </w:pPr>
      <w:rPr>
        <w:rFonts w:ascii="Calibri" w:eastAsia="Times New Roman" w:hAnsi="Calibri" w:cs="Calib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2" w15:restartNumberingAfterBreak="0">
    <w:nsid w:val="3C6D4FE6"/>
    <w:multiLevelType w:val="multilevel"/>
    <w:tmpl w:val="F684AB1C"/>
    <w:lvl w:ilvl="0">
      <w:start w:val="1"/>
      <w:numFmt w:val="lowerLetter"/>
      <w:lvlText w:val="%1."/>
      <w:lvlJc w:val="left"/>
      <w:pPr>
        <w:ind w:left="1003" w:hanging="360"/>
      </w:pPr>
      <w:rPr>
        <w:rFonts w:hint="default"/>
        <w:b w:val="0"/>
        <w:bCs w:val="0"/>
      </w:rPr>
    </w:lvl>
    <w:lvl w:ilvl="1">
      <w:start w:val="1"/>
      <w:numFmt w:val="lowerLetter"/>
      <w:lvlText w:val="%2)"/>
      <w:lvlJc w:val="left"/>
      <w:pPr>
        <w:ind w:left="1723" w:hanging="360"/>
      </w:pPr>
      <w:rPr>
        <w:rFonts w:hint="default"/>
        <w:b/>
      </w:rPr>
    </w:lvl>
    <w:lvl w:ilvl="2" w:tentative="1">
      <w:start w:val="1"/>
      <w:numFmt w:val="decimal"/>
      <w:lvlText w:val="%3."/>
      <w:lvlJc w:val="left"/>
      <w:pPr>
        <w:tabs>
          <w:tab w:val="num" w:pos="2443"/>
        </w:tabs>
        <w:ind w:left="2443" w:hanging="360"/>
      </w:pPr>
    </w:lvl>
    <w:lvl w:ilvl="3" w:tentative="1">
      <w:start w:val="1"/>
      <w:numFmt w:val="decimal"/>
      <w:lvlText w:val="%4."/>
      <w:lvlJc w:val="left"/>
      <w:pPr>
        <w:tabs>
          <w:tab w:val="num" w:pos="3163"/>
        </w:tabs>
        <w:ind w:left="3163" w:hanging="360"/>
      </w:pPr>
    </w:lvl>
    <w:lvl w:ilvl="4" w:tentative="1">
      <w:start w:val="1"/>
      <w:numFmt w:val="decimal"/>
      <w:lvlText w:val="%5."/>
      <w:lvlJc w:val="left"/>
      <w:pPr>
        <w:tabs>
          <w:tab w:val="num" w:pos="3883"/>
        </w:tabs>
        <w:ind w:left="3883" w:hanging="360"/>
      </w:pPr>
    </w:lvl>
    <w:lvl w:ilvl="5" w:tentative="1">
      <w:start w:val="1"/>
      <w:numFmt w:val="decimal"/>
      <w:lvlText w:val="%6."/>
      <w:lvlJc w:val="left"/>
      <w:pPr>
        <w:tabs>
          <w:tab w:val="num" w:pos="4603"/>
        </w:tabs>
        <w:ind w:left="4603" w:hanging="360"/>
      </w:pPr>
    </w:lvl>
    <w:lvl w:ilvl="6" w:tentative="1">
      <w:start w:val="1"/>
      <w:numFmt w:val="decimal"/>
      <w:lvlText w:val="%7."/>
      <w:lvlJc w:val="left"/>
      <w:pPr>
        <w:tabs>
          <w:tab w:val="num" w:pos="5323"/>
        </w:tabs>
        <w:ind w:left="5323" w:hanging="360"/>
      </w:pPr>
    </w:lvl>
    <w:lvl w:ilvl="7" w:tentative="1">
      <w:start w:val="1"/>
      <w:numFmt w:val="decimal"/>
      <w:lvlText w:val="%8."/>
      <w:lvlJc w:val="left"/>
      <w:pPr>
        <w:tabs>
          <w:tab w:val="num" w:pos="6043"/>
        </w:tabs>
        <w:ind w:left="6043" w:hanging="360"/>
      </w:pPr>
    </w:lvl>
    <w:lvl w:ilvl="8" w:tentative="1">
      <w:start w:val="1"/>
      <w:numFmt w:val="decimal"/>
      <w:lvlText w:val="%9."/>
      <w:lvlJc w:val="left"/>
      <w:pPr>
        <w:tabs>
          <w:tab w:val="num" w:pos="6763"/>
        </w:tabs>
        <w:ind w:left="6763" w:hanging="360"/>
      </w:pPr>
    </w:lvl>
  </w:abstractNum>
  <w:abstractNum w:abstractNumId="3" w15:restartNumberingAfterBreak="0">
    <w:nsid w:val="3C6E7EA8"/>
    <w:multiLevelType w:val="hybridMultilevel"/>
    <w:tmpl w:val="9F505560"/>
    <w:lvl w:ilvl="0" w:tplc="ACAE2F80">
      <w:start w:val="2"/>
      <w:numFmt w:val="bullet"/>
      <w:lvlText w:val="-"/>
      <w:lvlJc w:val="left"/>
      <w:pPr>
        <w:ind w:left="643" w:hanging="360"/>
      </w:pPr>
      <w:rPr>
        <w:rFonts w:ascii="Calibri" w:eastAsia="Times New Roman" w:hAnsi="Calibri" w:cs="Calibr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15:restartNumberingAfterBreak="0">
    <w:nsid w:val="546D1024"/>
    <w:multiLevelType w:val="hybridMultilevel"/>
    <w:tmpl w:val="2AF8B1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5186B"/>
    <w:multiLevelType w:val="hybridMultilevel"/>
    <w:tmpl w:val="D368ED14"/>
    <w:lvl w:ilvl="0" w:tplc="ACAE2F80">
      <w:start w:val="2"/>
      <w:numFmt w:val="bullet"/>
      <w:lvlText w:val="-"/>
      <w:lvlJc w:val="left"/>
      <w:pPr>
        <w:ind w:left="643"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3D439A"/>
    <w:multiLevelType w:val="hybridMultilevel"/>
    <w:tmpl w:val="2C587572"/>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D64F61"/>
    <w:multiLevelType w:val="hybridMultilevel"/>
    <w:tmpl w:val="ECE0012C"/>
    <w:lvl w:ilvl="0" w:tplc="4CB66A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54"/>
    <w:rsid w:val="000162F0"/>
    <w:rsid w:val="00016440"/>
    <w:rsid w:val="00022AA6"/>
    <w:rsid w:val="0002561E"/>
    <w:rsid w:val="00033594"/>
    <w:rsid w:val="0003432C"/>
    <w:rsid w:val="00043B83"/>
    <w:rsid w:val="00043D32"/>
    <w:rsid w:val="0005406B"/>
    <w:rsid w:val="00057C34"/>
    <w:rsid w:val="0006187A"/>
    <w:rsid w:val="0006393C"/>
    <w:rsid w:val="0006584A"/>
    <w:rsid w:val="00075323"/>
    <w:rsid w:val="00077935"/>
    <w:rsid w:val="00081F51"/>
    <w:rsid w:val="00082494"/>
    <w:rsid w:val="00083789"/>
    <w:rsid w:val="00090ECB"/>
    <w:rsid w:val="000A5607"/>
    <w:rsid w:val="000A7C36"/>
    <w:rsid w:val="000B012C"/>
    <w:rsid w:val="000B72A4"/>
    <w:rsid w:val="000D227F"/>
    <w:rsid w:val="000D2657"/>
    <w:rsid w:val="000D669C"/>
    <w:rsid w:val="000E27C5"/>
    <w:rsid w:val="000F11CC"/>
    <w:rsid w:val="000F7C30"/>
    <w:rsid w:val="00104F69"/>
    <w:rsid w:val="00116AE5"/>
    <w:rsid w:val="00124E6F"/>
    <w:rsid w:val="0014510C"/>
    <w:rsid w:val="00163A1F"/>
    <w:rsid w:val="00164A5B"/>
    <w:rsid w:val="00165854"/>
    <w:rsid w:val="00171975"/>
    <w:rsid w:val="0017220B"/>
    <w:rsid w:val="00173C46"/>
    <w:rsid w:val="001905D5"/>
    <w:rsid w:val="001942E3"/>
    <w:rsid w:val="00195C52"/>
    <w:rsid w:val="001A0A69"/>
    <w:rsid w:val="001A169B"/>
    <w:rsid w:val="001A30CB"/>
    <w:rsid w:val="001A71AB"/>
    <w:rsid w:val="001B7D27"/>
    <w:rsid w:val="001C527C"/>
    <w:rsid w:val="001D4E5F"/>
    <w:rsid w:val="001F4016"/>
    <w:rsid w:val="00201D4F"/>
    <w:rsid w:val="0020613C"/>
    <w:rsid w:val="0021123B"/>
    <w:rsid w:val="00211995"/>
    <w:rsid w:val="00224C62"/>
    <w:rsid w:val="00225246"/>
    <w:rsid w:val="00225259"/>
    <w:rsid w:val="0023279F"/>
    <w:rsid w:val="00243FC8"/>
    <w:rsid w:val="0024734D"/>
    <w:rsid w:val="002532E8"/>
    <w:rsid w:val="002642F1"/>
    <w:rsid w:val="0027297F"/>
    <w:rsid w:val="00275A83"/>
    <w:rsid w:val="002802BB"/>
    <w:rsid w:val="00283A9D"/>
    <w:rsid w:val="00290419"/>
    <w:rsid w:val="00291154"/>
    <w:rsid w:val="00292485"/>
    <w:rsid w:val="00294DC0"/>
    <w:rsid w:val="002A7A4F"/>
    <w:rsid w:val="002B4CD4"/>
    <w:rsid w:val="002D59BA"/>
    <w:rsid w:val="002E0799"/>
    <w:rsid w:val="002E5C28"/>
    <w:rsid w:val="002F2EDD"/>
    <w:rsid w:val="002F3750"/>
    <w:rsid w:val="002F4627"/>
    <w:rsid w:val="002F721E"/>
    <w:rsid w:val="00306110"/>
    <w:rsid w:val="003134EF"/>
    <w:rsid w:val="003225AA"/>
    <w:rsid w:val="00323E77"/>
    <w:rsid w:val="003266C9"/>
    <w:rsid w:val="00327F4C"/>
    <w:rsid w:val="00343A42"/>
    <w:rsid w:val="003523BD"/>
    <w:rsid w:val="00360340"/>
    <w:rsid w:val="00374DC4"/>
    <w:rsid w:val="00392153"/>
    <w:rsid w:val="003A00C3"/>
    <w:rsid w:val="003A4D61"/>
    <w:rsid w:val="003A526F"/>
    <w:rsid w:val="003B052F"/>
    <w:rsid w:val="003B4ED9"/>
    <w:rsid w:val="003C401D"/>
    <w:rsid w:val="003D6F2C"/>
    <w:rsid w:val="00403C9A"/>
    <w:rsid w:val="00423C49"/>
    <w:rsid w:val="004561B9"/>
    <w:rsid w:val="0046327F"/>
    <w:rsid w:val="0047121A"/>
    <w:rsid w:val="00472959"/>
    <w:rsid w:val="0047321B"/>
    <w:rsid w:val="00475376"/>
    <w:rsid w:val="00490A22"/>
    <w:rsid w:val="00494DC1"/>
    <w:rsid w:val="004950C7"/>
    <w:rsid w:val="004B16A2"/>
    <w:rsid w:val="004B1E0D"/>
    <w:rsid w:val="004B60EE"/>
    <w:rsid w:val="004C2B2A"/>
    <w:rsid w:val="004E688B"/>
    <w:rsid w:val="004F33AE"/>
    <w:rsid w:val="004F4C19"/>
    <w:rsid w:val="004F56E0"/>
    <w:rsid w:val="005059BC"/>
    <w:rsid w:val="005068EA"/>
    <w:rsid w:val="00514B34"/>
    <w:rsid w:val="00521CB0"/>
    <w:rsid w:val="00535B1F"/>
    <w:rsid w:val="00544B47"/>
    <w:rsid w:val="00553129"/>
    <w:rsid w:val="0057089A"/>
    <w:rsid w:val="00572ADC"/>
    <w:rsid w:val="0059194F"/>
    <w:rsid w:val="005A04FB"/>
    <w:rsid w:val="005A1A90"/>
    <w:rsid w:val="005B4866"/>
    <w:rsid w:val="005B7D8D"/>
    <w:rsid w:val="005C0F0D"/>
    <w:rsid w:val="005F123E"/>
    <w:rsid w:val="005F560D"/>
    <w:rsid w:val="00604665"/>
    <w:rsid w:val="006065AB"/>
    <w:rsid w:val="006106E9"/>
    <w:rsid w:val="00613A82"/>
    <w:rsid w:val="00621CC2"/>
    <w:rsid w:val="00627352"/>
    <w:rsid w:val="006276D9"/>
    <w:rsid w:val="00631EE6"/>
    <w:rsid w:val="00635A9F"/>
    <w:rsid w:val="00657D53"/>
    <w:rsid w:val="0066012E"/>
    <w:rsid w:val="00663EB8"/>
    <w:rsid w:val="00664227"/>
    <w:rsid w:val="00667BEE"/>
    <w:rsid w:val="00687855"/>
    <w:rsid w:val="006A1A0E"/>
    <w:rsid w:val="006A53A1"/>
    <w:rsid w:val="006A7DA1"/>
    <w:rsid w:val="006D0C79"/>
    <w:rsid w:val="006D6716"/>
    <w:rsid w:val="006F7484"/>
    <w:rsid w:val="007006BC"/>
    <w:rsid w:val="00721FDE"/>
    <w:rsid w:val="007317AA"/>
    <w:rsid w:val="007377F2"/>
    <w:rsid w:val="00741D20"/>
    <w:rsid w:val="00745490"/>
    <w:rsid w:val="00751F17"/>
    <w:rsid w:val="00752D09"/>
    <w:rsid w:val="0075407A"/>
    <w:rsid w:val="00770D2B"/>
    <w:rsid w:val="007858A5"/>
    <w:rsid w:val="007B6C82"/>
    <w:rsid w:val="007C29DA"/>
    <w:rsid w:val="007D10F3"/>
    <w:rsid w:val="007D3C13"/>
    <w:rsid w:val="007E5A09"/>
    <w:rsid w:val="007F0737"/>
    <w:rsid w:val="007F1366"/>
    <w:rsid w:val="008010A8"/>
    <w:rsid w:val="008029E2"/>
    <w:rsid w:val="008056A1"/>
    <w:rsid w:val="00810541"/>
    <w:rsid w:val="0083143F"/>
    <w:rsid w:val="00853634"/>
    <w:rsid w:val="00853ADC"/>
    <w:rsid w:val="00876689"/>
    <w:rsid w:val="00877C9E"/>
    <w:rsid w:val="00881BD1"/>
    <w:rsid w:val="008A69F8"/>
    <w:rsid w:val="008B092D"/>
    <w:rsid w:val="008B577B"/>
    <w:rsid w:val="008D0FA2"/>
    <w:rsid w:val="008D1FEC"/>
    <w:rsid w:val="008D50B9"/>
    <w:rsid w:val="00902712"/>
    <w:rsid w:val="009119E5"/>
    <w:rsid w:val="009142D8"/>
    <w:rsid w:val="0093226F"/>
    <w:rsid w:val="00933B24"/>
    <w:rsid w:val="00957E26"/>
    <w:rsid w:val="009605D7"/>
    <w:rsid w:val="00965453"/>
    <w:rsid w:val="00966F4B"/>
    <w:rsid w:val="00967695"/>
    <w:rsid w:val="00972263"/>
    <w:rsid w:val="009741CE"/>
    <w:rsid w:val="009842B9"/>
    <w:rsid w:val="009A694B"/>
    <w:rsid w:val="009B2FFF"/>
    <w:rsid w:val="009B4CD1"/>
    <w:rsid w:val="009B631F"/>
    <w:rsid w:val="009C7F24"/>
    <w:rsid w:val="009D7DF3"/>
    <w:rsid w:val="009F5FAB"/>
    <w:rsid w:val="00A1187D"/>
    <w:rsid w:val="00A17CC8"/>
    <w:rsid w:val="00A251A1"/>
    <w:rsid w:val="00A275E4"/>
    <w:rsid w:val="00A33EAD"/>
    <w:rsid w:val="00A35722"/>
    <w:rsid w:val="00A37B2E"/>
    <w:rsid w:val="00A41F4E"/>
    <w:rsid w:val="00A64C4A"/>
    <w:rsid w:val="00A72623"/>
    <w:rsid w:val="00A9182E"/>
    <w:rsid w:val="00A94629"/>
    <w:rsid w:val="00A94F8D"/>
    <w:rsid w:val="00AB2884"/>
    <w:rsid w:val="00AC4D51"/>
    <w:rsid w:val="00AC60E4"/>
    <w:rsid w:val="00AF3DC9"/>
    <w:rsid w:val="00B11890"/>
    <w:rsid w:val="00B25B09"/>
    <w:rsid w:val="00B27E1D"/>
    <w:rsid w:val="00B3233B"/>
    <w:rsid w:val="00B368FC"/>
    <w:rsid w:val="00B429C7"/>
    <w:rsid w:val="00B5172B"/>
    <w:rsid w:val="00B62CB4"/>
    <w:rsid w:val="00B7076D"/>
    <w:rsid w:val="00B72B1D"/>
    <w:rsid w:val="00B733F9"/>
    <w:rsid w:val="00B83ED3"/>
    <w:rsid w:val="00B918ED"/>
    <w:rsid w:val="00B95E30"/>
    <w:rsid w:val="00BA0535"/>
    <w:rsid w:val="00BC057D"/>
    <w:rsid w:val="00BC2E97"/>
    <w:rsid w:val="00BC75EA"/>
    <w:rsid w:val="00BE2148"/>
    <w:rsid w:val="00BE5141"/>
    <w:rsid w:val="00BE6723"/>
    <w:rsid w:val="00BF44D8"/>
    <w:rsid w:val="00C00354"/>
    <w:rsid w:val="00C117B1"/>
    <w:rsid w:val="00C17E4F"/>
    <w:rsid w:val="00C27623"/>
    <w:rsid w:val="00C3002F"/>
    <w:rsid w:val="00C41078"/>
    <w:rsid w:val="00C55753"/>
    <w:rsid w:val="00C621FB"/>
    <w:rsid w:val="00C70992"/>
    <w:rsid w:val="00C75D43"/>
    <w:rsid w:val="00C779F9"/>
    <w:rsid w:val="00C97301"/>
    <w:rsid w:val="00CA0107"/>
    <w:rsid w:val="00CA34ED"/>
    <w:rsid w:val="00CA6DB0"/>
    <w:rsid w:val="00CB3F38"/>
    <w:rsid w:val="00CB6035"/>
    <w:rsid w:val="00CC4A7D"/>
    <w:rsid w:val="00CD0EA6"/>
    <w:rsid w:val="00CD0FC0"/>
    <w:rsid w:val="00CE2426"/>
    <w:rsid w:val="00CE6175"/>
    <w:rsid w:val="00CE74A9"/>
    <w:rsid w:val="00CF6F48"/>
    <w:rsid w:val="00D00246"/>
    <w:rsid w:val="00D00BC7"/>
    <w:rsid w:val="00D0272B"/>
    <w:rsid w:val="00D03C52"/>
    <w:rsid w:val="00D0450B"/>
    <w:rsid w:val="00D04F0D"/>
    <w:rsid w:val="00D1203A"/>
    <w:rsid w:val="00D21430"/>
    <w:rsid w:val="00D24753"/>
    <w:rsid w:val="00D440FC"/>
    <w:rsid w:val="00D52899"/>
    <w:rsid w:val="00D57B1B"/>
    <w:rsid w:val="00D66319"/>
    <w:rsid w:val="00D74B9C"/>
    <w:rsid w:val="00D76F32"/>
    <w:rsid w:val="00D8419B"/>
    <w:rsid w:val="00D8664F"/>
    <w:rsid w:val="00DA4E9C"/>
    <w:rsid w:val="00DB5B27"/>
    <w:rsid w:val="00DC101B"/>
    <w:rsid w:val="00DD6DBA"/>
    <w:rsid w:val="00DE3D63"/>
    <w:rsid w:val="00DE5446"/>
    <w:rsid w:val="00DE6465"/>
    <w:rsid w:val="00DF1F32"/>
    <w:rsid w:val="00E16444"/>
    <w:rsid w:val="00E23554"/>
    <w:rsid w:val="00E24D0F"/>
    <w:rsid w:val="00E306B6"/>
    <w:rsid w:val="00E41D6C"/>
    <w:rsid w:val="00E5358D"/>
    <w:rsid w:val="00E56E9C"/>
    <w:rsid w:val="00E7700A"/>
    <w:rsid w:val="00E877A6"/>
    <w:rsid w:val="00E97F29"/>
    <w:rsid w:val="00EA0E8C"/>
    <w:rsid w:val="00EA68E3"/>
    <w:rsid w:val="00EC0E3B"/>
    <w:rsid w:val="00EC1705"/>
    <w:rsid w:val="00EC2ADA"/>
    <w:rsid w:val="00ED1C91"/>
    <w:rsid w:val="00EE12A9"/>
    <w:rsid w:val="00EF46E6"/>
    <w:rsid w:val="00EF4CE9"/>
    <w:rsid w:val="00F0604A"/>
    <w:rsid w:val="00F24CC5"/>
    <w:rsid w:val="00F34E15"/>
    <w:rsid w:val="00F41FC3"/>
    <w:rsid w:val="00F441BF"/>
    <w:rsid w:val="00F504DC"/>
    <w:rsid w:val="00F5345B"/>
    <w:rsid w:val="00F74D02"/>
    <w:rsid w:val="00F807C7"/>
    <w:rsid w:val="00F86549"/>
    <w:rsid w:val="00F9555F"/>
    <w:rsid w:val="00FB24FD"/>
    <w:rsid w:val="00FC056F"/>
    <w:rsid w:val="00FD1378"/>
    <w:rsid w:val="00FD1F8A"/>
    <w:rsid w:val="00FE3BF5"/>
    <w:rsid w:val="00FE3EC7"/>
    <w:rsid w:val="00FE64AC"/>
    <w:rsid w:val="00FF3C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E800"/>
  <w15:chartTrackingRefBased/>
  <w15:docId w15:val="{EFACE23C-0A1E-6B4D-846F-2E96D75E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54"/>
    <w:pPr>
      <w:ind w:left="720"/>
      <w:contextualSpacing/>
    </w:pPr>
  </w:style>
  <w:style w:type="paragraph" w:styleId="NormalWeb">
    <w:name w:val="Normal (Web)"/>
    <w:basedOn w:val="Normal"/>
    <w:uiPriority w:val="99"/>
    <w:semiHidden/>
    <w:unhideWhenUsed/>
    <w:rsid w:val="0047321B"/>
    <w:pPr>
      <w:spacing w:before="100" w:beforeAutospacing="1" w:after="100" w:afterAutospacing="1"/>
    </w:pPr>
    <w:rPr>
      <w:rFonts w:ascii="Times New Roman" w:eastAsia="Times New Roman" w:hAnsi="Times New Roman" w:cs="Times New Roman"/>
    </w:rPr>
  </w:style>
  <w:style w:type="character" w:styleId="LineNumber">
    <w:name w:val="line number"/>
    <w:basedOn w:val="DefaultParagraphFont"/>
    <w:uiPriority w:val="99"/>
    <w:semiHidden/>
    <w:unhideWhenUsed/>
    <w:rsid w:val="0029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179">
      <w:bodyDiv w:val="1"/>
      <w:marLeft w:val="0"/>
      <w:marRight w:val="0"/>
      <w:marTop w:val="0"/>
      <w:marBottom w:val="0"/>
      <w:divBdr>
        <w:top w:val="none" w:sz="0" w:space="0" w:color="auto"/>
        <w:left w:val="none" w:sz="0" w:space="0" w:color="auto"/>
        <w:bottom w:val="none" w:sz="0" w:space="0" w:color="auto"/>
        <w:right w:val="none" w:sz="0" w:space="0" w:color="auto"/>
      </w:divBdr>
    </w:div>
    <w:div w:id="123601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7DAEA-BAF6-344F-8A48-5780C6864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Oyanedel Diaz</dc:creator>
  <cp:keywords/>
  <dc:description/>
  <cp:lastModifiedBy>Microsoft Office User</cp:lastModifiedBy>
  <cp:revision>345</cp:revision>
  <dcterms:created xsi:type="dcterms:W3CDTF">2020-09-28T14:44:00Z</dcterms:created>
  <dcterms:modified xsi:type="dcterms:W3CDTF">2020-11-20T14:29:00Z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8d893e25-81f1-3845-9162-cd75f9214ecd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