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3da2a34c33af75e3e0ee4caeb58de4e98348eb"/>
      <w:r>
        <w:t xml:space="preserve">Combined executive report: Webbprogrammering (PAGWG, HT27)</w:t>
      </w:r>
      <w:bookmarkEnd w:id="9"/>
    </w:p>
    <w:p>
      <w:pPr>
        <w:pStyle w:val="FirstParagraph"/>
      </w:pPr>
      <w:r>
        <w:t xml:space="preserve">Prerequisite QA of 15 course occurrences by 2 independent agent runs:</w:t>
      </w:r>
      <w:r>
        <w:t xml:space="preserve"> </w:t>
      </w:r>
      <w:r>
        <w:rPr>
          <w:rStyle w:val="VerbatimChar"/>
        </w:rPr>
        <w:t xml:space="preserve">claude-code claude-sonnet-5-5</w:t>
      </w:r>
      <w:r>
        <w:t xml:space="preserve">,</w:t>
      </w:r>
      <w:r>
        <w:t xml:space="preserve"> </w:t>
      </w:r>
      <w:r>
        <w:rPr>
          <w:rStyle w:val="VerbatimChar"/>
        </w:rPr>
        <w:t xml:space="preserve">codex gpt-5.4</w:t>
      </w:r>
      <w:r>
        <w:t xml:space="preserve">.</w:t>
      </w:r>
    </w:p>
    <w:p>
      <w:pPr>
        <w:pStyle w:val="Heading2"/>
      </w:pPr>
      <w:bookmarkStart w:id="10" w:name="_24178e17815d7ed05207769f6e2fdf5de730a75"/>
      <w:r>
        <w:t xml:space="preserve">1. Executive summary</w:t>
      </w:r>
      <w:bookmarkEnd w:id="10"/>
    </w:p>
    <w:p>
      <w:pPr>
        <w:pStyle w:val="FirstParagraph"/>
      </w:pPr>
      <w:r>
        <w:t xml:space="preserve">Two independent runs (Claude Code with</w:t>
      </w:r>
      <w:r>
        <w:t xml:space="preserve"> </w:t>
      </w:r>
      <w:r>
        <w:rPr>
          <w:rStyle w:val="VerbatimChar"/>
        </w:rPr>
        <w:t xml:space="preserve">claude-sonnet-5-5</w:t>
      </w:r>
      <w:r>
        <w:t xml:space="preserve">, Codex with</w:t>
      </w:r>
      <w:r>
        <w:t xml:space="preserve"> </w:t>
      </w:r>
      <w:r>
        <w:rPr>
          <w:rStyle w:val="VerbatimChar"/>
        </w:rPr>
        <w:t xml:space="preserve">gpt-5.4</w:t>
      </w:r>
      <w:r>
        <w:t xml:space="preserve">) reviewed the 15 course occurrences of Webbprogrammering (120 hp) and agree on 14 verdicts. Both runs consider the program largely coherent, with one issue that needs action:</w:t>
      </w:r>
    </w:p>
    <w:p>
      <w:pPr>
        <w:pStyle w:val="Compact"/>
        <w:numPr>
          <w:ilvl w:val="0"/>
          <w:numId w:val="1001"/>
        </w:numPr>
      </w:pPr>
      <w:r>
        <w:rPr>
          <w:b/>
          <w:bCs/>
        </w:rPr>
        <w:t xml:space="preserve">DV1709 Driftsättning av webbtjänster på Linux server (VT29): GAP in both runs, high severity.</w:t>
      </w:r>
      <w:r>
        <w:t xml:space="preserve"> </w:t>
      </w:r>
      <w:r>
        <w:t xml:space="preserve">The plan assumes knowledge of Docker (and Git), but no earlier mandatory course teaches Docker, and Git appears only implicitly as</w:t>
      </w:r>
      <w:r>
        <w:t xml:space="preserve"> </w:t>
      </w:r>
      <w:r>
        <w:t xml:space="preserve">“Versionshantering”</w:t>
      </w:r>
      <w:r>
        <w:t xml:space="preserve"> </w:t>
      </w:r>
      <w:r>
        <w:t xml:space="preserve">in DV1707. The Claude run also notes that DV1709 lists Docker as its own content, so the plan contradicts itself. Either remove Docker from the assumed knowledge or teach it earlier.</w:t>
      </w:r>
    </w:p>
    <w:p>
      <w:pPr>
        <w:pStyle w:val="Compact"/>
        <w:numPr>
          <w:ilvl w:val="0"/>
          <w:numId w:val="1001"/>
        </w:numPr>
      </w:pPr>
      <w:r>
        <w:rPr>
          <w:b/>
          <w:bCs/>
        </w:rPr>
        <w:t xml:space="preserve">Prerequisite wording:</w:t>
      </w:r>
      <w:r>
        <w:t xml:space="preserve"> </w:t>
      </w:r>
      <w:r>
        <w:t xml:space="preserve">DV1705 and DV1706 require</w:t>
      </w:r>
      <w:r>
        <w:t xml:space="preserve"> </w:t>
      </w:r>
      <w:r>
        <w:t xml:space="preserve">“webbprogrammering”</w:t>
      </w:r>
      <w:r>
        <w:t xml:space="preserve"> </w:t>
      </w:r>
      <w:r>
        <w:t xml:space="preserve">(7.5 and 15 hp) without naming course codes. Both runs matched this to DV1704 (and DV1705) by content and recommend naming the codes. Both runs also raised a point on DV1707, but different ones (the Codex run the same generic wording, the Claude run that version control and CI are not introduced earlier).</w:t>
      </w:r>
    </w:p>
    <w:p>
      <w:pPr>
        <w:pStyle w:val="FirstParagraph"/>
      </w:pPr>
      <w:r>
        <w:rPr>
          <w:b/>
          <w:bCs/>
        </w:rPr>
        <w:t xml:space="preserve">To adjudicate:</w:t>
      </w:r>
      <w:r>
        <w:t xml:space="preserve"> </w:t>
      </w:r>
      <w:r>
        <w:t xml:space="preserve">PA1438 Självständigt arbete (VT29). The Claude run says GAP (medium): the thesis outcomes assume scientific foundation, literature search and report writing, which no earlier course teaches. The Codex run says OK, since the 60 hp credit requirement is met (90 hp guaranteed) and the technical content is covered. Both agree on the credit requirement, so the question is whether a research-method element is missing. This is a candidate for a human decision. Agreement between two models is not proof; findings are candidates for human review.</w:t>
      </w:r>
    </w:p>
    <w:p>
      <w:pPr>
        <w:pStyle w:val="BodyText"/>
      </w:pPr>
      <w:r>
        <w:t xml:space="preserve">Key figures (computed):</w:t>
      </w:r>
    </w:p>
    <w:p>
      <w:pPr>
        <w:pStyle w:val="Compact"/>
        <w:numPr>
          <w:ilvl w:val="0"/>
          <w:numId w:val="1002"/>
        </w:numPr>
      </w:pPr>
      <w:r>
        <w:t xml:space="preserve">2 runs agree on the verdict for 14 of 15 courses (93%); 1 course has differing verdicts.</w:t>
      </w:r>
    </w:p>
    <w:p>
      <w:pPr>
        <w:pStyle w:val="Compact"/>
        <w:numPr>
          <w:ilvl w:val="0"/>
          <w:numId w:val="1002"/>
        </w:numPr>
      </w:pPr>
      <w:r>
        <w:t xml:space="preserve">1 course is flagged (not OK) by every run: DV1709 VT29.</w:t>
      </w:r>
    </w:p>
    <w:p>
      <w:pPr>
        <w:pStyle w:val="Compact"/>
        <w:numPr>
          <w:ilvl w:val="0"/>
          <w:numId w:val="1002"/>
        </w:numPr>
      </w:pPr>
      <w:r>
        <w:t xml:space="preserve">3 issues were reported by more than half of the runs (3 by all); 3 by a minority of runs only and need verification.</w:t>
      </w:r>
    </w:p>
    <w:p>
      <w:pPr>
        <w:pStyle w:val="Compact"/>
        <w:numPr>
          <w:ilvl w:val="0"/>
          <w:numId w:val="1002"/>
        </w:numPr>
      </w:pPr>
      <w:r>
        <w:t xml:space="preserve">High-severity issues with majority or consensus support: 1.</w:t>
      </w:r>
    </w:p>
    <w:p>
      <w:pPr>
        <w:pStyle w:val="Heading2"/>
      </w:pPr>
      <w:bookmarkStart w:id="11" w:name="_1352f5ee3276e1f64565179244c64de1c67504f"/>
      <w:r>
        <w:t xml:space="preserve">2. Priority issues (reported by a majority of runs)</w:t>
      </w:r>
      <w:bookmarkEnd w:id="11"/>
    </w:p>
    <w:p>
      <w:pPr>
        <w:pStyle w:val="FirstParagraph"/>
      </w:pPr>
      <w:r>
        <w:t xml:space="preserve">Agents describe the same problem in different words, so issues are grouped by course and finding type.</w:t>
      </w:r>
      <w:r>
        <w:t xml:space="preserve"> </w:t>
      </w:r>
      <w:r>
        <w:rPr>
          <w:i/>
          <w:iCs/>
        </w:rPr>
        <w:t xml:space="preserve">Support</w:t>
      </w:r>
      <w:r>
        <w:t xml:space="preserve"> </w:t>
      </w:r>
      <w:r>
        <w:t xml:space="preserve">= number of runs reporting it.</w:t>
      </w:r>
      <w:r>
        <w:t xml:space="preserve"> </w:t>
      </w:r>
      <w:r>
        <w:rPr>
          <w:i/>
          <w:iCs/>
        </w:rPr>
        <w:t xml:space="preserve">Severity</w:t>
      </w:r>
      <w:r>
        <w:t xml:space="preserve"> </w:t>
      </w:r>
      <w:r>
        <w:t xml:space="preserve">is the highest any run gave.</w:t>
      </w:r>
    </w:p>
    <w:tbl>
      <w:tblPr>
        <w:tblStyle w:val="Table"/>
        <w:tblW w:type="pct" w:w="5000"/>
        <w:tblLayout w:type="fixed"/>
        <w:tblLook w:firstRow="1" w:lastRow="0" w:firstColumn="0" w:lastColumn="0" w:noHBand="0" w:noVBand="0" w:val="0020"/>
      </w:tblPr>
      <w:tblGrid>
        <w:gridCol w:w="582"/>
        <w:gridCol w:w="465"/>
        <w:gridCol w:w="465"/>
        <w:gridCol w:w="465"/>
        <w:gridCol w:w="465"/>
        <w:gridCol w:w="582"/>
        <w:gridCol w:w="2445"/>
        <w:gridCol w:w="2445"/>
      </w:tblGrid>
      <w:tr>
        <w:trPr>
          <w:tblHeader w:val="on"/>
        </w:trPr>
        <w:tc>
          <w:tcPr/>
          <w:p>
            <w:pPr>
              <w:pStyle w:val="Compact"/>
            </w:pPr>
            <w:r>
              <w:t xml:space="preserve">ID</w:t>
            </w:r>
          </w:p>
        </w:tc>
        <w:tc>
          <w:tcPr/>
          <w:p>
            <w:pPr>
              <w:pStyle w:val="Compact"/>
            </w:pPr>
            <w:r>
              <w:t xml:space="preserve">Severity</w:t>
            </w:r>
          </w:p>
        </w:tc>
        <w:tc>
          <w:tcPr/>
          <w:p>
            <w:pPr>
              <w:pStyle w:val="Compact"/>
            </w:pPr>
            <w:r>
              <w:t xml:space="preserve">Support</w:t>
            </w:r>
          </w:p>
        </w:tc>
        <w:tc>
          <w:tcPr/>
          <w:p>
            <w:pPr>
              <w:pStyle w:val="Compact"/>
            </w:pPr>
            <w:r>
              <w:t xml:space="preserve">Course</w:t>
            </w:r>
          </w:p>
        </w:tc>
        <w:tc>
          <w:tcPr/>
          <w:p>
            <w:pPr>
              <w:pStyle w:val="Compact"/>
            </w:pPr>
            <w:r>
              <w:t xml:space="preserve">Semester</w:t>
            </w:r>
          </w:p>
        </w:tc>
        <w:tc>
          <w:tcPr/>
          <w:p>
            <w:pPr>
              <w:pStyle w:val="Compact"/>
            </w:pPr>
            <w:r>
              <w:t xml:space="preserve">Type</w:t>
            </w:r>
          </w:p>
        </w:tc>
        <w:tc>
          <w:tcPr/>
          <w:p>
            <w:pPr>
              <w:pStyle w:val="Compact"/>
            </w:pPr>
            <w:r>
              <w:t xml:space="preserve">What</w:t>
            </w:r>
          </w:p>
        </w:tc>
        <w:tc>
          <w:tcPr/>
          <w:p>
            <w:pPr>
              <w:pStyle w:val="Compact"/>
            </w:pPr>
            <w:r>
              <w:t xml:space="preserve">Recommendation</w:t>
            </w:r>
          </w:p>
        </w:tc>
      </w:tr>
      <w:tr>
        <w:tc>
          <w:tcPr/>
          <w:p>
            <w:pPr>
              <w:pStyle w:val="Compact"/>
            </w:pPr>
            <w:r>
              <w:t xml:space="preserve">C-001</w:t>
            </w:r>
          </w:p>
        </w:tc>
        <w:tc>
          <w:tcPr/>
          <w:p>
            <w:pPr>
              <w:pStyle w:val="Compact"/>
            </w:pPr>
            <w:r>
              <w:t xml:space="preserve">high</w:t>
            </w:r>
          </w:p>
        </w:tc>
        <w:tc>
          <w:tcPr/>
          <w:p>
            <w:pPr>
              <w:pStyle w:val="Compact"/>
            </w:pPr>
            <w:r>
              <w:t xml:space="preserve">2/2</w:t>
            </w:r>
          </w:p>
        </w:tc>
        <w:tc>
          <w:tcPr/>
          <w:p>
            <w:pPr>
              <w:pStyle w:val="Compact"/>
            </w:pPr>
            <w:r>
              <w:t xml:space="preserve">DV1709</w:t>
            </w:r>
          </w:p>
        </w:tc>
        <w:tc>
          <w:tcPr/>
          <w:p>
            <w:pPr>
              <w:pStyle w:val="Compact"/>
            </w:pPr>
            <w:r>
              <w:t xml:space="preserve">VT29</w:t>
            </w:r>
          </w:p>
        </w:tc>
        <w:tc>
          <w:tcPr/>
          <w:p>
            <w:pPr>
              <w:pStyle w:val="Compact"/>
            </w:pPr>
            <w:r>
              <w:t xml:space="preserve">competence-gap</w:t>
            </w:r>
          </w:p>
        </w:tc>
        <w:tc>
          <w:tcPr/>
          <w:p>
            <w:pPr>
              <w:pStyle w:val="Compact"/>
            </w:pPr>
            <w:r>
              <w:t xml:space="preserve">DV1709</w:t>
            </w:r>
            <w:r>
              <w:t xml:space="preserve"> </w:t>
            </w:r>
            <w:r>
              <w:t xml:space="preserve">‘Förutsatta kunskaper’</w:t>
            </w:r>
            <w:r>
              <w:t xml:space="preserve"> </w:t>
            </w:r>
            <w:r>
              <w:t xml:space="preserve">require knowledge of Docker (and Git), but no earlier mandatory course teaches Docker, and Git is only implicit in DV1707’s</w:t>
            </w:r>
            <w:r>
              <w:t xml:space="preserve"> </w:t>
            </w:r>
            <w:r>
              <w:t xml:space="preserve">‘Versionshantering’</w:t>
            </w:r>
            <w:r>
              <w:t xml:space="preserve">. DV1709 itself lists Docker/docker compose as course content, so the plan contradicts itself.</w:t>
            </w:r>
          </w:p>
        </w:tc>
        <w:tc>
          <w:tcPr/>
          <w:p>
            <w:pPr>
              <w:pStyle w:val="Compact"/>
            </w:pPr>
            <w:r>
              <w:t xml:space="preserve">Either remove Docker from the assumed knowledge in DV1709 (since the course teaches it), or add Docker to an earlier course (e.g. DV1708 or DV1711); also name Git explicitly in DV1707 or an earlier course.</w:t>
            </w:r>
          </w:p>
        </w:tc>
      </w:tr>
      <w:tr>
        <w:tc>
          <w:tcPr/>
          <w:p>
            <w:pPr>
              <w:pStyle w:val="Compact"/>
            </w:pPr>
            <w:r>
              <w:t xml:space="preserve">C-003</w:t>
            </w:r>
          </w:p>
        </w:tc>
        <w:tc>
          <w:tcPr/>
          <w:p>
            <w:pPr>
              <w:pStyle w:val="Compact"/>
            </w:pPr>
            <w:r>
              <w:t xml:space="preserve">low</w:t>
            </w:r>
          </w:p>
        </w:tc>
        <w:tc>
          <w:tcPr/>
          <w:p>
            <w:pPr>
              <w:pStyle w:val="Compact"/>
            </w:pPr>
            <w:r>
              <w:t xml:space="preserve">2/2</w:t>
            </w:r>
          </w:p>
        </w:tc>
        <w:tc>
          <w:tcPr/>
          <w:p>
            <w:pPr>
              <w:pStyle w:val="Compact"/>
            </w:pPr>
            <w:r>
              <w:t xml:space="preserve">DV1705</w:t>
            </w:r>
          </w:p>
        </w:tc>
        <w:tc>
          <w:tcPr/>
          <w:p>
            <w:pPr>
              <w:pStyle w:val="Compact"/>
            </w:pPr>
            <w:r>
              <w:t xml:space="preserve">HT27</w:t>
            </w:r>
          </w:p>
        </w:tc>
        <w:tc>
          <w:tcPr/>
          <w:p>
            <w:pPr>
              <w:pStyle w:val="Compact"/>
            </w:pPr>
            <w:r>
              <w:t xml:space="preserve">ambiguous-requirement</w:t>
            </w:r>
          </w:p>
        </w:tc>
        <w:tc>
          <w:tcPr/>
          <w:p>
            <w:pPr>
              <w:pStyle w:val="Compact"/>
            </w:pPr>
            <w:r>
              <w:t xml:space="preserve">The prerequisite</w:t>
            </w:r>
            <w:r>
              <w:t xml:space="preserve"> </w:t>
            </w:r>
            <w:r>
              <w:t xml:space="preserve">‘kurs i webbprogrammering, 7,5 hp’</w:t>
            </w:r>
            <w:r>
              <w:t xml:space="preserve"> </w:t>
            </w:r>
            <w:r>
              <w:t xml:space="preserve">does not name a course; the matching course is DV1704 Webbteknologier.</w:t>
            </w:r>
          </w:p>
        </w:tc>
        <w:tc>
          <w:tcPr/>
          <w:p>
            <w:pPr>
              <w:pStyle w:val="Compact"/>
            </w:pPr>
            <w:r>
              <w:t xml:space="preserve">State the prerequisite as course code DV1704 (or its equivalent) in the plan.</w:t>
            </w:r>
          </w:p>
        </w:tc>
      </w:tr>
      <w:tr>
        <w:tc>
          <w:tcPr/>
          <w:p>
            <w:pPr>
              <w:pStyle w:val="Compact"/>
            </w:pPr>
            <w:r>
              <w:t xml:space="preserve">C-004</w:t>
            </w:r>
          </w:p>
        </w:tc>
        <w:tc>
          <w:tcPr/>
          <w:p>
            <w:pPr>
              <w:pStyle w:val="Compact"/>
            </w:pPr>
            <w:r>
              <w:t xml:space="preserve">low</w:t>
            </w:r>
          </w:p>
        </w:tc>
        <w:tc>
          <w:tcPr/>
          <w:p>
            <w:pPr>
              <w:pStyle w:val="Compact"/>
            </w:pPr>
            <w:r>
              <w:t xml:space="preserve">2/2</w:t>
            </w:r>
          </w:p>
        </w:tc>
        <w:tc>
          <w:tcPr/>
          <w:p>
            <w:pPr>
              <w:pStyle w:val="Compact"/>
            </w:pPr>
            <w:r>
              <w:t xml:space="preserve">DV1706</w:t>
            </w:r>
          </w:p>
        </w:tc>
        <w:tc>
          <w:tcPr/>
          <w:p>
            <w:pPr>
              <w:pStyle w:val="Compact"/>
            </w:pPr>
            <w:r>
              <w:t xml:space="preserve">VT28</w:t>
            </w:r>
          </w:p>
        </w:tc>
        <w:tc>
          <w:tcPr/>
          <w:p>
            <w:pPr>
              <w:pStyle w:val="Compact"/>
            </w:pPr>
            <w:r>
              <w:t xml:space="preserve">ambiguous-requirement</w:t>
            </w:r>
          </w:p>
        </w:tc>
        <w:tc>
          <w:tcPr/>
          <w:p>
            <w:pPr>
              <w:pStyle w:val="Compact"/>
            </w:pPr>
            <w:r>
              <w:t xml:space="preserve">The prerequisite</w:t>
            </w:r>
            <w:r>
              <w:t xml:space="preserve"> </w:t>
            </w:r>
            <w:r>
              <w:t xml:space="preserve">‘kurser i webbprogrammering, 15 hp’</w:t>
            </w:r>
            <w:r>
              <w:t xml:space="preserve"> </w:t>
            </w:r>
            <w:r>
              <w:t xml:space="preserve">names no course codes; it is satisfied by DV1704 + DV1705 by content only.</w:t>
            </w:r>
          </w:p>
        </w:tc>
        <w:tc>
          <w:tcPr/>
          <w:p>
            <w:pPr>
              <w:pStyle w:val="Compact"/>
            </w:pPr>
            <w:r>
              <w:t xml:space="preserve">Name DV1704 and DV1705 explicitly in the prerequisite.</w:t>
            </w:r>
          </w:p>
        </w:tc>
      </w:tr>
    </w:tbl>
    <w:p>
      <w:pPr>
        <w:pStyle w:val="Heading2"/>
      </w:pPr>
      <w:bookmarkStart w:id="12" w:name="_cff42ea55da39c3c8992fad1db97cfb87b98806"/>
      <w:r>
        <w:t xml:space="preserve">3. Disagreements to adjudicate</w:t>
      </w:r>
      <w:bookmarkEnd w:id="12"/>
    </w:p>
    <w:p>
      <w:pPr>
        <w:pStyle w:val="FirstParagraph"/>
      </w:pPr>
      <w:r>
        <w:t xml:space="preserve">Courses where the runs reached different verdicts. A human (or a further run) should decide these; reasoning of each run is quoted.</w:t>
      </w:r>
    </w:p>
    <w:tbl>
      <w:tblPr>
        <w:tblStyle w:val="Table"/>
        <w:tblW w:type="pct" w:w="5000"/>
        <w:tblLayout w:type="fixed"/>
        <w:tblLook w:firstRow="1" w:lastRow="0" w:firstColumn="0" w:lastColumn="0" w:noHBand="0" w:noVBand="0" w:val="0020"/>
      </w:tblPr>
      <w:tblGrid>
        <w:gridCol w:w="528"/>
        <w:gridCol w:w="1056"/>
        <w:gridCol w:w="1848"/>
        <w:gridCol w:w="1320"/>
        <w:gridCol w:w="1584"/>
        <w:gridCol w:w="1584"/>
      </w:tblGrid>
      <w:tr>
        <w:trPr>
          <w:tblHeader w:val="on"/>
        </w:trPr>
        <w:tc>
          <w:tcPr/>
          <w:p>
            <w:pPr>
              <w:pStyle w:val="Compact"/>
            </w:pPr>
            <w:r>
              <w:t xml:space="preserve">#</w:t>
            </w:r>
          </w:p>
        </w:tc>
        <w:tc>
          <w:tcPr/>
          <w:p>
            <w:pPr>
              <w:pStyle w:val="Compact"/>
            </w:pPr>
            <w:r>
              <w:t xml:space="preserve">Semester</w:t>
            </w:r>
          </w:p>
        </w:tc>
        <w:tc>
          <w:tcPr/>
          <w:p>
            <w:pPr>
              <w:pStyle w:val="Compact"/>
            </w:pPr>
            <w:r>
              <w:t xml:space="preserve">Course</w:t>
            </w:r>
          </w:p>
        </w:tc>
        <w:tc>
          <w:tcPr/>
          <w:p>
            <w:pPr>
              <w:pStyle w:val="Compact"/>
            </w:pPr>
            <w:r>
              <w:t xml:space="preserve">Type</w:t>
            </w:r>
          </w:p>
        </w:tc>
        <w:tc>
          <w:tcPr/>
          <w:p>
            <w:pPr>
              <w:pStyle w:val="Compact"/>
            </w:pPr>
            <w:r>
              <w:t xml:space="preserve">claude-code claude-sonnet-5-5</w:t>
            </w:r>
          </w:p>
        </w:tc>
        <w:tc>
          <w:tcPr/>
          <w:p>
            <w:pPr>
              <w:pStyle w:val="Compact"/>
            </w:pPr>
            <w:r>
              <w:t xml:space="preserve">codex gpt-5.4</w:t>
            </w:r>
          </w:p>
        </w:tc>
      </w:tr>
      <w:tr>
        <w:tc>
          <w:tcPr/>
          <w:p>
            <w:pPr>
              <w:pStyle w:val="Compact"/>
            </w:pPr>
            <w:r>
              <w:t xml:space="preserve">14</w:t>
            </w:r>
          </w:p>
        </w:tc>
        <w:tc>
          <w:tcPr/>
          <w:p>
            <w:pPr>
              <w:pStyle w:val="Compact"/>
            </w:pPr>
            <w:r>
              <w:t xml:space="preserve">VT29</w:t>
            </w:r>
          </w:p>
        </w:tc>
        <w:tc>
          <w:tcPr/>
          <w:p>
            <w:pPr>
              <w:pStyle w:val="Compact"/>
            </w:pPr>
            <w:r>
              <w:t xml:space="preserve">PA1438 Självständigt arbete i Webbprogrammering</w:t>
            </w:r>
          </w:p>
        </w:tc>
        <w:tc>
          <w:tcPr/>
          <w:p>
            <w:pPr>
              <w:pStyle w:val="Compact"/>
            </w:pPr>
            <w:r>
              <w:t xml:space="preserve">mandatory</w:t>
            </w:r>
          </w:p>
        </w:tc>
        <w:tc>
          <w:tcPr/>
          <w:p>
            <w:pPr>
              <w:pStyle w:val="Compact"/>
            </w:pPr>
            <w:r>
              <w:t xml:space="preserve">GAP</w:t>
            </w:r>
          </w:p>
        </w:tc>
        <w:tc>
          <w:tcPr/>
          <w:p>
            <w:pPr>
              <w:pStyle w:val="Compact"/>
            </w:pPr>
            <w:r>
              <w:t xml:space="preserve">OK</w:t>
            </w:r>
          </w:p>
        </w:tc>
      </w:tr>
    </w:tbl>
    <w:p>
      <w:pPr>
        <w:pStyle w:val="Heading4"/>
      </w:pPr>
      <w:bookmarkStart w:id="13" w:name="_288f64f12dc44ef52da64d7936738127161d950"/>
      <w:r>
        <w:t xml:space="preserve">14. PA1438 Självständigt arbete i Webbprogrammering (VT29)</w:t>
      </w:r>
      <w:bookmarkEnd w:id="13"/>
    </w:p>
    <w:p>
      <w:pPr>
        <w:pStyle w:val="Compact"/>
        <w:numPr>
          <w:ilvl w:val="0"/>
          <w:numId w:val="1003"/>
        </w:numPr>
      </w:pPr>
      <w:r>
        <w:rPr>
          <w:b/>
          <w:bCs/>
        </w:rPr>
        <w:t xml:space="preserve">claude-code claude-sonnet-5-5</w:t>
      </w:r>
      <w:r>
        <w:t xml:space="preserve">: GAP (medium). The credit requirement</w:t>
      </w:r>
      <w:r>
        <w:t xml:space="preserve"> </w:t>
      </w:r>
      <w:r>
        <w:t xml:space="preserve">‘60 hp avklarade på programmet Webbprogrammering’</w:t>
      </w:r>
      <w:r>
        <w:t xml:space="preserve"> </w:t>
      </w:r>
      <w:r>
        <w:t xml:space="preserve">is met (90 hp guaranteed). The technical content is well covered by DV1704-DV1711 and PA1493 (customer project, agile, requirements, reflection). But outcomes such as</w:t>
      </w:r>
      <w:r>
        <w:t xml:space="preserve"> </w:t>
      </w:r>
      <w:r>
        <w:t xml:space="preserve">‘kännedom om områdets vetenskapliga grund’</w:t>
      </w:r>
      <w:r>
        <w:t xml:space="preserve">,</w:t>
      </w:r>
      <w:r>
        <w:t xml:space="preserve"> </w:t>
      </w:r>
      <w:r>
        <w:t xml:space="preserve">‘söka, samla och kritiskt tolka relevant information’</w:t>
      </w:r>
      <w:r>
        <w:t xml:space="preserve"> </w:t>
      </w:r>
      <w:r>
        <w:t xml:space="preserve">and</w:t>
      </w:r>
      <w:r>
        <w:t xml:space="preserve"> </w:t>
      </w:r>
      <w:r>
        <w:t xml:space="preserve">‘dokumentera arbetet i form av en rapport’</w:t>
      </w:r>
      <w:r>
        <w:t xml:space="preserve"> </w:t>
      </w:r>
      <w:r>
        <w:t xml:space="preserve">build on a scientific/academic fou…</w:t>
      </w:r>
    </w:p>
    <w:p>
      <w:pPr>
        <w:pStyle w:val="Compact"/>
        <w:numPr>
          <w:ilvl w:val="0"/>
          <w:numId w:val="1003"/>
        </w:numPr>
      </w:pPr>
      <w:r>
        <w:rPr>
          <w:b/>
          <w:bCs/>
        </w:rPr>
        <w:t xml:space="preserve">codex gpt-5.4</w:t>
      </w:r>
      <w:r>
        <w:t xml:space="preserve">: OK (medium). The formal prerequisite is</w:t>
      </w:r>
      <w:r>
        <w:t xml:space="preserve"> </w:t>
      </w:r>
      <w:r>
        <w:t xml:space="preserve">“60 hp avklarade på programmet Webbprogrammering”</w:t>
      </w:r>
      <w:r>
        <w:t xml:space="preserve">. Before VT29 period 3, the ledger guarantees 90 hp from earlier mandatory courses, so the credit threshold is met with margin. The course then asks the student to integrate and deepen earlier knowledge within web programming in an independent project and report. Earlier mandatory courses provide broad web-programming competence and project/…</w:t>
      </w:r>
    </w:p>
    <w:p>
      <w:pPr>
        <w:pStyle w:val="Heading2"/>
      </w:pPr>
      <w:bookmarkStart w:id="14" w:name="_f9f2d6ee50981b8e2ccc0588169a9a435f8dad4"/>
      <w:r>
        <w:t xml:space="preserve">4. Findings reported by a minority of runs</w:t>
      </w:r>
      <w:bookmarkEnd w:id="14"/>
    </w:p>
    <w:p>
      <w:pPr>
        <w:pStyle w:val="FirstParagraph"/>
      </w:pPr>
      <w:r>
        <w:t xml:space="preserve">Not corroborated by a majority; treat as hypotheses. If another run flagged the same course under a different finding type, it is noted.</w:t>
      </w:r>
    </w:p>
    <w:tbl>
      <w:tblPr>
        <w:tblStyle w:val="Table"/>
        <w:tblW w:type="pct" w:w="5000"/>
        <w:tblLayout w:type="fixed"/>
        <w:tblLook w:firstRow="1" w:lastRow="0" w:firstColumn="0" w:lastColumn="0" w:noHBand="0" w:noVBand="0" w:val="0020"/>
      </w:tblPr>
      <w:tblGrid>
        <w:gridCol w:w="747"/>
        <w:gridCol w:w="597"/>
        <w:gridCol w:w="747"/>
        <w:gridCol w:w="597"/>
        <w:gridCol w:w="597"/>
        <w:gridCol w:w="747"/>
        <w:gridCol w:w="3138"/>
        <w:gridCol w:w="747"/>
      </w:tblGrid>
      <w:tr>
        <w:trPr>
          <w:tblHeader w:val="on"/>
        </w:trPr>
        <w:tc>
          <w:tcPr/>
          <w:p>
            <w:pPr>
              <w:pStyle w:val="Compact"/>
            </w:pPr>
            <w:r>
              <w:t xml:space="preserve">ID</w:t>
            </w:r>
          </w:p>
        </w:tc>
        <w:tc>
          <w:tcPr/>
          <w:p>
            <w:pPr>
              <w:pStyle w:val="Compact"/>
            </w:pPr>
            <w:r>
              <w:t xml:space="preserve">Severity</w:t>
            </w:r>
          </w:p>
        </w:tc>
        <w:tc>
          <w:tcPr/>
          <w:p>
            <w:pPr>
              <w:pStyle w:val="Compact"/>
            </w:pPr>
            <w:r>
              <w:t xml:space="preserve">Reported by</w:t>
            </w:r>
          </w:p>
        </w:tc>
        <w:tc>
          <w:tcPr/>
          <w:p>
            <w:pPr>
              <w:pStyle w:val="Compact"/>
            </w:pPr>
            <w:r>
              <w:t xml:space="preserve">Course</w:t>
            </w:r>
          </w:p>
        </w:tc>
        <w:tc>
          <w:tcPr/>
          <w:p>
            <w:pPr>
              <w:pStyle w:val="Compact"/>
            </w:pPr>
            <w:r>
              <w:t xml:space="preserve">Semester</w:t>
            </w:r>
          </w:p>
        </w:tc>
        <w:tc>
          <w:tcPr/>
          <w:p>
            <w:pPr>
              <w:pStyle w:val="Compact"/>
            </w:pPr>
            <w:r>
              <w:t xml:space="preserve">Type</w:t>
            </w:r>
          </w:p>
        </w:tc>
        <w:tc>
          <w:tcPr/>
          <w:p>
            <w:pPr>
              <w:pStyle w:val="Compact"/>
            </w:pPr>
            <w:r>
              <w:t xml:space="preserve">What</w:t>
            </w:r>
          </w:p>
        </w:tc>
        <w:tc>
          <w:tcPr/>
          <w:p>
            <w:pPr>
              <w:pStyle w:val="Compact"/>
            </w:pPr>
            <w:r>
              <w:t xml:space="preserve">Other runs on this course</w:t>
            </w:r>
          </w:p>
        </w:tc>
      </w:tr>
      <w:tr>
        <w:tc>
          <w:tcPr/>
          <w:p>
            <w:pPr>
              <w:pStyle w:val="Compact"/>
            </w:pPr>
            <w:r>
              <w:t xml:space="preserve">C-002</w:t>
            </w:r>
          </w:p>
        </w:tc>
        <w:tc>
          <w:tcPr/>
          <w:p>
            <w:pPr>
              <w:pStyle w:val="Compact"/>
            </w:pPr>
            <w:r>
              <w:t xml:space="preserve">medium</w:t>
            </w:r>
          </w:p>
        </w:tc>
        <w:tc>
          <w:tcPr/>
          <w:p>
            <w:pPr>
              <w:pStyle w:val="Compact"/>
            </w:pPr>
            <w:r>
              <w:t xml:space="preserve">claude-code claude-sonnet-5-5</w:t>
            </w:r>
          </w:p>
        </w:tc>
        <w:tc>
          <w:tcPr/>
          <w:p>
            <w:pPr>
              <w:pStyle w:val="Compact"/>
            </w:pPr>
            <w:r>
              <w:t xml:space="preserve">PA1438</w:t>
            </w:r>
          </w:p>
        </w:tc>
        <w:tc>
          <w:tcPr/>
          <w:p>
            <w:pPr>
              <w:pStyle w:val="Compact"/>
            </w:pPr>
            <w:r>
              <w:t xml:space="preserve">VT29</w:t>
            </w:r>
          </w:p>
        </w:tc>
        <w:tc>
          <w:tcPr/>
          <w:p>
            <w:pPr>
              <w:pStyle w:val="Compact"/>
            </w:pPr>
            <w:r>
              <w:t xml:space="preserve">competence-gap</w:t>
            </w:r>
          </w:p>
        </w:tc>
        <w:tc>
          <w:tcPr/>
          <w:p>
            <w:pPr>
              <w:pStyle w:val="Compact"/>
            </w:pPr>
            <w:r>
              <w:t xml:space="preserve">The thesis outcomes assume scientific foundation, literature search/critical source evaluation and report writing, but no mandatory course before PA1438 teaches research methodology or academic writing; only short reflections occur in DV1705 and PA1493.</w:t>
            </w:r>
          </w:p>
        </w:tc>
        <w:tc>
          <w:tcPr/>
          <w:p>
            <w:pPr>
              <w:pStyle w:val="Compact"/>
            </w:pPr>
            <w:r>
              <w:t xml:space="preserve">-</w:t>
            </w:r>
          </w:p>
        </w:tc>
      </w:tr>
      <w:tr>
        <w:tc>
          <w:tcPr/>
          <w:p>
            <w:pPr>
              <w:pStyle w:val="Compact"/>
            </w:pPr>
            <w:r>
              <w:t xml:space="preserve">C-005</w:t>
            </w:r>
          </w:p>
        </w:tc>
        <w:tc>
          <w:tcPr/>
          <w:p>
            <w:pPr>
              <w:pStyle w:val="Compact"/>
            </w:pPr>
            <w:r>
              <w:t xml:space="preserve">low</w:t>
            </w:r>
          </w:p>
        </w:tc>
        <w:tc>
          <w:tcPr/>
          <w:p>
            <w:pPr>
              <w:pStyle w:val="Compact"/>
            </w:pPr>
            <w:r>
              <w:t xml:space="preserve">claude-code claude-sonnet-5-5</w:t>
            </w:r>
          </w:p>
        </w:tc>
        <w:tc>
          <w:tcPr/>
          <w:p>
            <w:pPr>
              <w:pStyle w:val="Compact"/>
            </w:pPr>
            <w:r>
              <w:t xml:space="preserve">DV1707</w:t>
            </w:r>
          </w:p>
        </w:tc>
        <w:tc>
          <w:tcPr/>
          <w:p>
            <w:pPr>
              <w:pStyle w:val="Compact"/>
            </w:pPr>
            <w:r>
              <w:t xml:space="preserve">VT28</w:t>
            </w:r>
          </w:p>
        </w:tc>
        <w:tc>
          <w:tcPr/>
          <w:p>
            <w:pPr>
              <w:pStyle w:val="Compact"/>
            </w:pPr>
            <w:r>
              <w:t xml:space="preserve">other</w:t>
            </w:r>
          </w:p>
        </w:tc>
        <w:tc>
          <w:tcPr/>
          <w:p>
            <w:pPr>
              <w:pStyle w:val="Compact"/>
            </w:pPr>
            <w:r>
              <w:t xml:space="preserve">DV1707 lists</w:t>
            </w:r>
            <w:r>
              <w:t xml:space="preserve"> </w:t>
            </w:r>
            <w:r>
              <w:t xml:space="preserve">‘Versionshantering, kontinuerlig integration och driftsättning’</w:t>
            </w:r>
            <w:r>
              <w:t xml:space="preserve"> </w:t>
            </w:r>
            <w:r>
              <w:t xml:space="preserve">and group project methodology as content, but no earlier course in the program (HT27-VT28 period 3) introduces version control or CI; it is unclear whether the course teaches them or assumes them.</w:t>
            </w:r>
          </w:p>
        </w:tc>
        <w:tc>
          <w:tcPr/>
          <w:p>
            <w:pPr>
              <w:pStyle w:val="Compact"/>
            </w:pPr>
            <w:r>
              <w:t xml:space="preserve">ambiguous-requirement</w:t>
            </w:r>
          </w:p>
        </w:tc>
      </w:tr>
      <w:tr>
        <w:tc>
          <w:tcPr/>
          <w:p>
            <w:pPr>
              <w:pStyle w:val="Compact"/>
            </w:pPr>
            <w:r>
              <w:t xml:space="preserve">C-006</w:t>
            </w:r>
          </w:p>
        </w:tc>
        <w:tc>
          <w:tcPr/>
          <w:p>
            <w:pPr>
              <w:pStyle w:val="Compact"/>
            </w:pPr>
            <w:r>
              <w:t xml:space="preserve">low</w:t>
            </w:r>
          </w:p>
        </w:tc>
        <w:tc>
          <w:tcPr/>
          <w:p>
            <w:pPr>
              <w:pStyle w:val="Compact"/>
            </w:pPr>
            <w:r>
              <w:t xml:space="preserve">codex gpt-5.4</w:t>
            </w:r>
          </w:p>
        </w:tc>
        <w:tc>
          <w:tcPr/>
          <w:p>
            <w:pPr>
              <w:pStyle w:val="Compact"/>
            </w:pPr>
            <w:r>
              <w:t xml:space="preserve">DV1707</w:t>
            </w:r>
          </w:p>
        </w:tc>
        <w:tc>
          <w:tcPr/>
          <w:p>
            <w:pPr>
              <w:pStyle w:val="Compact"/>
            </w:pPr>
            <w:r>
              <w:t xml:space="preserve">VT28</w:t>
            </w:r>
          </w:p>
        </w:tc>
        <w:tc>
          <w:tcPr/>
          <w:p>
            <w:pPr>
              <w:pStyle w:val="Compact"/>
            </w:pPr>
            <w:r>
              <w:t xml:space="preserve">ambiguous-requirement</w:t>
            </w:r>
          </w:p>
        </w:tc>
        <w:tc>
          <w:tcPr/>
          <w:p>
            <w:pPr>
              <w:pStyle w:val="Compact"/>
            </w:pPr>
            <w:r>
              <w:t xml:space="preserve">DV1707 uses the generic prerequisite wording</w:t>
            </w:r>
            <w:r>
              <w:t xml:space="preserve"> </w:t>
            </w:r>
            <w:r>
              <w:t xml:space="preserve">“kurser i webbprogrammering, 15 hp”</w:t>
            </w:r>
            <w:r>
              <w:t xml:space="preserve"> </w:t>
            </w:r>
            <w:r>
              <w:t xml:space="preserve">instead of naming the actual earlier courses that satisfy it in the program.</w:t>
            </w:r>
          </w:p>
        </w:tc>
        <w:tc>
          <w:tcPr/>
          <w:p>
            <w:pPr>
              <w:pStyle w:val="Compact"/>
            </w:pPr>
            <w:r>
              <w:t xml:space="preserve">other</w:t>
            </w:r>
          </w:p>
        </w:tc>
      </w:tr>
    </w:tbl>
    <w:p>
      <w:pPr>
        <w:pStyle w:val="Heading2"/>
      </w:pPr>
      <w:bookmarkStart w:id="15" w:name="_f6c05a1c5efc3d3d0aa26dca6e088dc482aab99"/>
      <w:r>
        <w:t xml:space="preserve">5. Runs and agreement</w:t>
      </w:r>
      <w:bookmarkEnd w:id="15"/>
    </w:p>
    <w:tbl>
      <w:tblPr>
        <w:tblStyle w:val="Table"/>
        <w:tblW w:type="pct" w:w="5000"/>
        <w:tblLayout w:type="fixed"/>
        <w:tblLook w:firstRow="1" w:lastRow="0" w:firstColumn="0" w:lastColumn="0" w:noHBand="0" w:noVBand="0" w:val="0020"/>
      </w:tblPr>
      <w:tblGrid>
        <w:gridCol w:w="1173"/>
        <w:gridCol w:w="1173"/>
        <w:gridCol w:w="1173"/>
        <w:gridCol w:w="586"/>
        <w:gridCol w:w="880"/>
        <w:gridCol w:w="586"/>
        <w:gridCol w:w="880"/>
        <w:gridCol w:w="1466"/>
      </w:tblGrid>
      <w:tr>
        <w:trPr>
          <w:tblHeader w:val="on"/>
        </w:trPr>
        <w:tc>
          <w:tcPr/>
          <w:p>
            <w:pPr>
              <w:pStyle w:val="Compact"/>
            </w:pPr>
            <w:r>
              <w:t xml:space="preserve">Harness</w:t>
            </w:r>
          </w:p>
        </w:tc>
        <w:tc>
          <w:tcPr/>
          <w:p>
            <w:pPr>
              <w:pStyle w:val="Compact"/>
            </w:pPr>
            <w:r>
              <w:t xml:space="preserve">Model</w:t>
            </w:r>
          </w:p>
        </w:tc>
        <w:tc>
          <w:tcPr/>
          <w:p>
            <w:pPr>
              <w:pStyle w:val="Compact"/>
            </w:pPr>
            <w:r>
              <w:t xml:space="preserve">Date</w:t>
            </w:r>
          </w:p>
        </w:tc>
        <w:tc>
          <w:tcPr/>
          <w:p>
            <w:pPr>
              <w:pStyle w:val="Compact"/>
            </w:pPr>
            <w:r>
              <w:t xml:space="preserve">OK</w:t>
            </w:r>
          </w:p>
        </w:tc>
        <w:tc>
          <w:tcPr/>
          <w:p>
            <w:pPr>
              <w:pStyle w:val="Compact"/>
            </w:pPr>
            <w:r>
              <w:t xml:space="preserve">CONDITIONAL</w:t>
            </w:r>
          </w:p>
        </w:tc>
        <w:tc>
          <w:tcPr/>
          <w:p>
            <w:pPr>
              <w:pStyle w:val="Compact"/>
            </w:pPr>
            <w:r>
              <w:t xml:space="preserve">GAP</w:t>
            </w:r>
          </w:p>
        </w:tc>
        <w:tc>
          <w:tcPr/>
          <w:p>
            <w:pPr>
              <w:pStyle w:val="Compact"/>
            </w:pPr>
            <w:r>
              <w:t xml:space="preserve">UNCLEAR</w:t>
            </w:r>
          </w:p>
        </w:tc>
        <w:tc>
          <w:tcPr/>
          <w:p>
            <w:pPr>
              <w:pStyle w:val="Compact"/>
            </w:pPr>
            <w:r>
              <w:t xml:space="preserve">Findings (high/medium/low)</w:t>
            </w:r>
          </w:p>
        </w:tc>
      </w:tr>
      <w:tr>
        <w:tc>
          <w:tcPr/>
          <w:p>
            <w:pPr>
              <w:pStyle w:val="Compact"/>
            </w:pPr>
            <w:r>
              <w:t xml:space="preserve">claude-code</w:t>
            </w:r>
          </w:p>
        </w:tc>
        <w:tc>
          <w:tcPr/>
          <w:p>
            <w:pPr>
              <w:pStyle w:val="Compact"/>
            </w:pPr>
            <w:r>
              <w:t xml:space="preserve">claude-sonnet-5-5</w:t>
            </w:r>
          </w:p>
        </w:tc>
        <w:tc>
          <w:tcPr/>
          <w:p>
            <w:pPr>
              <w:pStyle w:val="Compact"/>
            </w:pPr>
            <w:r>
              <w:t xml:space="preserve">2026-10-21</w:t>
            </w:r>
          </w:p>
        </w:tc>
        <w:tc>
          <w:tcPr/>
          <w:p>
            <w:pPr>
              <w:pStyle w:val="Compact"/>
            </w:pPr>
            <w:r>
              <w:t xml:space="preserve">13</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1/1/3</w:t>
            </w:r>
          </w:p>
        </w:tc>
      </w:tr>
      <w:tr>
        <w:tc>
          <w:tcPr/>
          <w:p>
            <w:pPr>
              <w:pStyle w:val="Compact"/>
            </w:pPr>
            <w:r>
              <w:t xml:space="preserve">codex</w:t>
            </w:r>
          </w:p>
        </w:tc>
        <w:tc>
          <w:tcPr/>
          <w:p>
            <w:pPr>
              <w:pStyle w:val="Compact"/>
            </w:pPr>
            <w:r>
              <w:t xml:space="preserve">gpt-5.4</w:t>
            </w:r>
          </w:p>
        </w:tc>
        <w:tc>
          <w:tcPr/>
          <w:p>
            <w:pPr>
              <w:pStyle w:val="Compact"/>
            </w:pPr>
            <w:r>
              <w:t xml:space="preserve">2026-10-21</w:t>
            </w:r>
          </w:p>
        </w:tc>
        <w:tc>
          <w:tcPr/>
          <w:p>
            <w:pPr>
              <w:pStyle w:val="Compact"/>
            </w:pPr>
            <w:r>
              <w:t xml:space="preserve">14</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1/0/3</w:t>
            </w:r>
          </w:p>
        </w:tc>
      </w:tr>
    </w:tbl>
    <w:p>
      <w:pPr>
        <w:pStyle w:val="FirstParagraph"/>
      </w:pPr>
      <w:r>
        <w:t xml:space="preserve">Pairwise agreement.</w:t>
      </w:r>
      <w:r>
        <w:t xml:space="preserve"> </w:t>
      </w:r>
      <w:r>
        <w:rPr>
          <w:i/>
          <w:iCs/>
        </w:rPr>
        <w:t xml:space="preserve">Exact</w:t>
      </w:r>
      <w:r>
        <w:t xml:space="preserve"> </w:t>
      </w:r>
      <w:r>
        <w:t xml:space="preserve">= same verdict;</w:t>
      </w:r>
      <w:r>
        <w:t xml:space="preserve"> </w:t>
      </w:r>
      <w:r>
        <w:rPr>
          <w:i/>
          <w:iCs/>
        </w:rPr>
        <w:t xml:space="preserve">flag</w:t>
      </w:r>
      <w:r>
        <w:t xml:space="preserve"> </w:t>
      </w:r>
      <w:r>
        <w:t xml:space="preserve">= both say OK or both say not OK.</w:t>
      </w:r>
    </w:p>
    <w:tbl>
      <w:tblPr>
        <w:tblStyle w:val="Table"/>
        <w:tblW w:type="pct" w:w="5000"/>
        <w:tblLayout w:type="fixed"/>
        <w:tblLook w:firstRow="1" w:lastRow="0" w:firstColumn="0" w:lastColumn="0" w:noHBand="0" w:noVBand="0" w:val="0020"/>
      </w:tblPr>
      <w:tblGrid>
        <w:gridCol w:w="2262"/>
        <w:gridCol w:w="2262"/>
        <w:gridCol w:w="1131"/>
        <w:gridCol w:w="1131"/>
        <w:gridCol w:w="1131"/>
      </w:tblGrid>
      <w:tr>
        <w:trPr>
          <w:tblHeader w:val="on"/>
        </w:trPr>
        <w:tc>
          <w:tcPr/>
          <w:p>
            <w:pPr>
              <w:pStyle w:val="Compact"/>
            </w:pPr>
            <w:r>
              <w:t xml:space="preserve">Run A</w:t>
            </w:r>
          </w:p>
        </w:tc>
        <w:tc>
          <w:tcPr/>
          <w:p>
            <w:pPr>
              <w:pStyle w:val="Compact"/>
            </w:pPr>
            <w:r>
              <w:t xml:space="preserve">Run B</w:t>
            </w:r>
          </w:p>
        </w:tc>
        <w:tc>
          <w:tcPr/>
          <w:p>
            <w:pPr>
              <w:pStyle w:val="Compact"/>
            </w:pPr>
            <w:r>
              <w:t xml:space="preserve">Courses</w:t>
            </w:r>
          </w:p>
        </w:tc>
        <w:tc>
          <w:tcPr/>
          <w:p>
            <w:pPr>
              <w:pStyle w:val="Compact"/>
            </w:pPr>
            <w:r>
              <w:t xml:space="preserve">Exact verdict</w:t>
            </w:r>
          </w:p>
        </w:tc>
        <w:tc>
          <w:tcPr/>
          <w:p>
            <w:pPr>
              <w:pStyle w:val="Compact"/>
            </w:pPr>
            <w:r>
              <w:t xml:space="preserve">Flag (OK vs not OK)</w:t>
            </w:r>
          </w:p>
        </w:tc>
      </w:tr>
      <w:tr>
        <w:tc>
          <w:tcPr/>
          <w:p>
            <w:pPr>
              <w:pStyle w:val="Compact"/>
            </w:pPr>
            <w:r>
              <w:t xml:space="preserve">claude-code claude-sonnet-5-5</w:t>
            </w:r>
          </w:p>
        </w:tc>
        <w:tc>
          <w:tcPr/>
          <w:p>
            <w:pPr>
              <w:pStyle w:val="Compact"/>
            </w:pPr>
            <w:r>
              <w:t xml:space="preserve">codex gpt-5.4</w:t>
            </w:r>
          </w:p>
        </w:tc>
        <w:tc>
          <w:tcPr/>
          <w:p>
            <w:pPr>
              <w:pStyle w:val="Compact"/>
            </w:pPr>
            <w:r>
              <w:t xml:space="preserve">15</w:t>
            </w:r>
          </w:p>
        </w:tc>
        <w:tc>
          <w:tcPr/>
          <w:p>
            <w:pPr>
              <w:pStyle w:val="Compact"/>
            </w:pPr>
            <w:r>
              <w:t xml:space="preserve">14 (93%)</w:t>
            </w:r>
          </w:p>
        </w:tc>
        <w:tc>
          <w:tcPr/>
          <w:p>
            <w:pPr>
              <w:pStyle w:val="Compact"/>
            </w:pPr>
            <w:r>
              <w:t xml:space="preserve">14 (93%)</w:t>
            </w:r>
          </w:p>
        </w:tc>
      </w:tr>
    </w:tbl>
    <w:p>
      <w:pPr>
        <w:pStyle w:val="Heading2"/>
      </w:pPr>
      <w:bookmarkStart w:id="16" w:name="_22609569b5a7959971e0a1613c74d07eac1870a"/>
      <w:r>
        <w:t xml:space="preserve">6. Course matrix</w:t>
      </w:r>
      <w:bookmarkEnd w:id="16"/>
    </w:p>
    <w:tbl>
      <w:tblPr>
        <w:tblStyle w:val="Table"/>
        <w:tblW w:type="pct" w:w="5000"/>
        <w:tblLayout w:type="fixed"/>
        <w:tblLook w:firstRow="1" w:lastRow="0" w:firstColumn="0" w:lastColumn="0" w:noHBand="0" w:noVBand="0" w:val="0020"/>
      </w:tblPr>
      <w:tblGrid>
        <w:gridCol w:w="465"/>
        <w:gridCol w:w="931"/>
        <w:gridCol w:w="1863"/>
        <w:gridCol w:w="1164"/>
        <w:gridCol w:w="1164"/>
        <w:gridCol w:w="1164"/>
        <w:gridCol w:w="1164"/>
      </w:tblGrid>
      <w:tr>
        <w:trPr>
          <w:tblHeader w:val="on"/>
        </w:trPr>
        <w:tc>
          <w:tcPr/>
          <w:p>
            <w:pPr>
              <w:pStyle w:val="Compact"/>
            </w:pPr>
            <w:r>
              <w:t xml:space="preserve">#</w:t>
            </w:r>
          </w:p>
        </w:tc>
        <w:tc>
          <w:tcPr/>
          <w:p>
            <w:pPr>
              <w:pStyle w:val="Compact"/>
            </w:pPr>
            <w:r>
              <w:t xml:space="preserve">Semester</w:t>
            </w:r>
          </w:p>
        </w:tc>
        <w:tc>
          <w:tcPr/>
          <w:p>
            <w:pPr>
              <w:pStyle w:val="Compact"/>
            </w:pPr>
            <w:r>
              <w:t xml:space="preserve">Course</w:t>
            </w:r>
          </w:p>
        </w:tc>
        <w:tc>
          <w:tcPr/>
          <w:p>
            <w:pPr>
              <w:pStyle w:val="Compact"/>
            </w:pPr>
            <w:r>
              <w:t xml:space="preserve">Type</w:t>
            </w:r>
          </w:p>
        </w:tc>
        <w:tc>
          <w:tcPr/>
          <w:p>
            <w:pPr>
              <w:pStyle w:val="Compact"/>
            </w:pPr>
            <w:r>
              <w:t xml:space="preserve">claude-code claude-sonnet-5-5</w:t>
            </w:r>
          </w:p>
        </w:tc>
        <w:tc>
          <w:tcPr/>
          <w:p>
            <w:pPr>
              <w:pStyle w:val="Compact"/>
            </w:pPr>
            <w:r>
              <w:t xml:space="preserve">codex gpt-5.4</w:t>
            </w:r>
          </w:p>
        </w:tc>
        <w:tc>
          <w:tcPr/>
          <w:p>
            <w:pPr>
              <w:pStyle w:val="Compact"/>
            </w:pPr>
            <w:r>
              <w:t xml:space="preserve">Consensus</w:t>
            </w:r>
          </w:p>
        </w:tc>
      </w:tr>
      <w:tr>
        <w:tc>
          <w:tcPr/>
          <w:p>
            <w:pPr>
              <w:pStyle w:val="Compact"/>
            </w:pPr>
            <w:r>
              <w:t xml:space="preserve">1</w:t>
            </w:r>
          </w:p>
        </w:tc>
        <w:tc>
          <w:tcPr/>
          <w:p>
            <w:pPr>
              <w:pStyle w:val="Compact"/>
            </w:pPr>
            <w:r>
              <w:t xml:space="preserve">HT27</w:t>
            </w:r>
          </w:p>
        </w:tc>
        <w:tc>
          <w:tcPr/>
          <w:p>
            <w:pPr>
              <w:pStyle w:val="Compact"/>
            </w:pPr>
            <w:r>
              <w:t xml:space="preserve">DV1670 Programmering och problemlösning med Python</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2</w:t>
            </w:r>
          </w:p>
        </w:tc>
        <w:tc>
          <w:tcPr/>
          <w:p>
            <w:pPr>
              <w:pStyle w:val="Compact"/>
            </w:pPr>
            <w:r>
              <w:t xml:space="preserve">HT27</w:t>
            </w:r>
          </w:p>
        </w:tc>
        <w:tc>
          <w:tcPr/>
          <w:p>
            <w:pPr>
              <w:pStyle w:val="Compact"/>
            </w:pPr>
            <w:r>
              <w:t xml:space="preserve">DV1704 Webbteknologier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3</w:t>
            </w:r>
          </w:p>
        </w:tc>
        <w:tc>
          <w:tcPr/>
          <w:p>
            <w:pPr>
              <w:pStyle w:val="Compact"/>
            </w:pPr>
            <w:r>
              <w:t xml:space="preserve">HT27</w:t>
            </w:r>
          </w:p>
        </w:tc>
        <w:tc>
          <w:tcPr/>
          <w:p>
            <w:pPr>
              <w:pStyle w:val="Compact"/>
            </w:pPr>
            <w:r>
              <w:t xml:space="preserve">DV1701 Objektorienterad programmering i CSharp</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4</w:t>
            </w:r>
          </w:p>
        </w:tc>
        <w:tc>
          <w:tcPr/>
          <w:p>
            <w:pPr>
              <w:pStyle w:val="Compact"/>
            </w:pPr>
            <w:r>
              <w:t xml:space="preserve">HT27</w:t>
            </w:r>
          </w:p>
        </w:tc>
        <w:tc>
          <w:tcPr/>
          <w:p>
            <w:pPr>
              <w:pStyle w:val="Compact"/>
            </w:pPr>
            <w:r>
              <w:t xml:space="preserve">DV1705 UX-design med JavaScript</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5</w:t>
            </w:r>
          </w:p>
        </w:tc>
        <w:tc>
          <w:tcPr/>
          <w:p>
            <w:pPr>
              <w:pStyle w:val="Compact"/>
            </w:pPr>
            <w:r>
              <w:t xml:space="preserve">VT28</w:t>
            </w:r>
          </w:p>
        </w:tc>
        <w:tc>
          <w:tcPr/>
          <w:p>
            <w:pPr>
              <w:pStyle w:val="Compact"/>
            </w:pPr>
            <w:r>
              <w:t xml:space="preserve">DV1703 Databasteknik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6</w:t>
            </w:r>
          </w:p>
        </w:tc>
        <w:tc>
          <w:tcPr/>
          <w:p>
            <w:pPr>
              <w:pStyle w:val="Compact"/>
            </w:pPr>
            <w:r>
              <w:t xml:space="preserve">VT28</w:t>
            </w:r>
          </w:p>
        </w:tc>
        <w:tc>
          <w:tcPr/>
          <w:p>
            <w:pPr>
              <w:pStyle w:val="Compact"/>
            </w:pPr>
            <w:r>
              <w:t xml:space="preserve">DV1706 Webbapplikationer för mobila enheter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7</w:t>
            </w:r>
          </w:p>
        </w:tc>
        <w:tc>
          <w:tcPr/>
          <w:p>
            <w:pPr>
              <w:pStyle w:val="Compact"/>
            </w:pPr>
            <w:r>
              <w:t xml:space="preserve">VT28</w:t>
            </w:r>
          </w:p>
        </w:tc>
        <w:tc>
          <w:tcPr/>
          <w:p>
            <w:pPr>
              <w:pStyle w:val="Compact"/>
            </w:pPr>
            <w:r>
              <w:t xml:space="preserve">DV1702 Algoritmer och datastrukturer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8</w:t>
            </w:r>
          </w:p>
        </w:tc>
        <w:tc>
          <w:tcPr/>
          <w:p>
            <w:pPr>
              <w:pStyle w:val="Compact"/>
            </w:pPr>
            <w:r>
              <w:t xml:space="preserve">VT28</w:t>
            </w:r>
          </w:p>
        </w:tc>
        <w:tc>
          <w:tcPr/>
          <w:p>
            <w:pPr>
              <w:pStyle w:val="Compact"/>
            </w:pPr>
            <w:r>
              <w:t xml:space="preserve">DV1707 Projekt webbprogrammering frontend</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9</w:t>
            </w:r>
          </w:p>
        </w:tc>
        <w:tc>
          <w:tcPr/>
          <w:p>
            <w:pPr>
              <w:pStyle w:val="Compact"/>
            </w:pPr>
            <w:r>
              <w:t xml:space="preserve">HT28</w:t>
            </w:r>
          </w:p>
        </w:tc>
        <w:tc>
          <w:tcPr/>
          <w:p>
            <w:pPr>
              <w:pStyle w:val="Compact"/>
            </w:pPr>
            <w:r>
              <w:t xml:space="preserve">PA1493 Mjukvaruutvecklingsprojekt</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10</w:t>
            </w:r>
          </w:p>
        </w:tc>
        <w:tc>
          <w:tcPr/>
          <w:p>
            <w:pPr>
              <w:pStyle w:val="Compact"/>
            </w:pPr>
            <w:r>
              <w:t xml:space="preserve">HT28</w:t>
            </w:r>
          </w:p>
        </w:tc>
        <w:tc>
          <w:tcPr/>
          <w:p>
            <w:pPr>
              <w:pStyle w:val="Compact"/>
            </w:pPr>
            <w:r>
              <w:t xml:space="preserve">DV1711 Programmering med JavaScript och Node</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11</w:t>
            </w:r>
          </w:p>
        </w:tc>
        <w:tc>
          <w:tcPr/>
          <w:p>
            <w:pPr>
              <w:pStyle w:val="Compact"/>
            </w:pPr>
            <w:r>
              <w:t xml:space="preserve">HT28</w:t>
            </w:r>
          </w:p>
        </w:tc>
        <w:tc>
          <w:tcPr/>
          <w:p>
            <w:pPr>
              <w:pStyle w:val="Compact"/>
            </w:pPr>
            <w:r>
              <w:t xml:space="preserve">MA1507 Diskret matematik och algoritmer</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12</w:t>
            </w:r>
          </w:p>
        </w:tc>
        <w:tc>
          <w:tcPr/>
          <w:p>
            <w:pPr>
              <w:pStyle w:val="Compact"/>
            </w:pPr>
            <w:r>
              <w:t xml:space="preserve">HT28</w:t>
            </w:r>
          </w:p>
        </w:tc>
        <w:tc>
          <w:tcPr/>
          <w:p>
            <w:pPr>
              <w:pStyle w:val="Compact"/>
            </w:pPr>
            <w:r>
              <w:t xml:space="preserve">DV1708 Webbprogrammering backend</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r>
        <w:tc>
          <w:tcPr/>
          <w:p>
            <w:pPr>
              <w:pStyle w:val="Compact"/>
            </w:pPr>
            <w:r>
              <w:t xml:space="preserve">13</w:t>
            </w:r>
          </w:p>
        </w:tc>
        <w:tc>
          <w:tcPr/>
          <w:p>
            <w:pPr>
              <w:pStyle w:val="Compact"/>
            </w:pPr>
            <w:r>
              <w:t xml:space="preserve">VT29</w:t>
            </w:r>
          </w:p>
        </w:tc>
        <w:tc>
          <w:tcPr/>
          <w:p>
            <w:pPr>
              <w:pStyle w:val="Compact"/>
            </w:pPr>
            <w:r>
              <w:t xml:space="preserve">DV1709 Driftsättning av webbtjänster på Linux server</w:t>
            </w:r>
          </w:p>
        </w:tc>
        <w:tc>
          <w:tcPr/>
          <w:p>
            <w:pPr>
              <w:pStyle w:val="Compact"/>
            </w:pPr>
            <w:r>
              <w:t xml:space="preserve">mandatory</w:t>
            </w:r>
          </w:p>
        </w:tc>
        <w:tc>
          <w:tcPr/>
          <w:p>
            <w:pPr>
              <w:pStyle w:val="Compact"/>
            </w:pPr>
            <w:r>
              <w:t xml:space="preserve">GAP</w:t>
            </w:r>
          </w:p>
        </w:tc>
        <w:tc>
          <w:tcPr/>
          <w:p>
            <w:pPr>
              <w:pStyle w:val="Compact"/>
            </w:pPr>
            <w:r>
              <w:t xml:space="preserve">GAP</w:t>
            </w:r>
          </w:p>
        </w:tc>
        <w:tc>
          <w:tcPr/>
          <w:p>
            <w:pPr>
              <w:pStyle w:val="Compact"/>
            </w:pPr>
            <w:r>
              <w:rPr>
                <w:b/>
                <w:bCs/>
              </w:rPr>
              <w:t xml:space="preserve">GAP</w:t>
            </w:r>
          </w:p>
        </w:tc>
      </w:tr>
      <w:tr>
        <w:tc>
          <w:tcPr/>
          <w:p>
            <w:pPr>
              <w:pStyle w:val="Compact"/>
            </w:pPr>
            <w:r>
              <w:t xml:space="preserve">14</w:t>
            </w:r>
          </w:p>
        </w:tc>
        <w:tc>
          <w:tcPr/>
          <w:p>
            <w:pPr>
              <w:pStyle w:val="Compact"/>
            </w:pPr>
            <w:r>
              <w:t xml:space="preserve">VT29</w:t>
            </w:r>
          </w:p>
        </w:tc>
        <w:tc>
          <w:tcPr/>
          <w:p>
            <w:pPr>
              <w:pStyle w:val="Compact"/>
            </w:pPr>
            <w:r>
              <w:t xml:space="preserve">PA1438 Självständigt arbete i Webbprogrammering</w:t>
            </w:r>
          </w:p>
        </w:tc>
        <w:tc>
          <w:tcPr/>
          <w:p>
            <w:pPr>
              <w:pStyle w:val="Compact"/>
            </w:pPr>
            <w:r>
              <w:t xml:space="preserve">mandatory</w:t>
            </w:r>
          </w:p>
        </w:tc>
        <w:tc>
          <w:tcPr/>
          <w:p>
            <w:pPr>
              <w:pStyle w:val="Compact"/>
            </w:pPr>
            <w:r>
              <w:t xml:space="preserve">GAP</w:t>
            </w:r>
          </w:p>
        </w:tc>
        <w:tc>
          <w:tcPr/>
          <w:p>
            <w:pPr>
              <w:pStyle w:val="Compact"/>
            </w:pPr>
            <w:r>
              <w:t xml:space="preserve">OK</w:t>
            </w:r>
          </w:p>
        </w:tc>
        <w:tc>
          <w:tcPr/>
          <w:p>
            <w:pPr>
              <w:pStyle w:val="Compact"/>
            </w:pPr>
            <w:r>
              <w:rPr>
                <w:b/>
                <w:bCs/>
              </w:rPr>
              <w:t xml:space="preserve">SPLIT</w:t>
            </w:r>
            <w:r>
              <w:t xml:space="preserve"> </w:t>
            </w:r>
            <w:r>
              <w:t xml:space="preserve">(not unanimous)</w:t>
            </w:r>
          </w:p>
        </w:tc>
      </w:tr>
      <w:tr>
        <w:tc>
          <w:tcPr/>
          <w:p>
            <w:pPr>
              <w:pStyle w:val="Compact"/>
            </w:pPr>
            <w:r>
              <w:t xml:space="preserve">15</w:t>
            </w:r>
          </w:p>
        </w:tc>
        <w:tc>
          <w:tcPr/>
          <w:p>
            <w:pPr>
              <w:pStyle w:val="Compact"/>
            </w:pPr>
            <w:r>
              <w:t xml:space="preserve">VT29</w:t>
            </w:r>
          </w:p>
        </w:tc>
        <w:tc>
          <w:tcPr/>
          <w:p>
            <w:pPr>
              <w:pStyle w:val="Compact"/>
            </w:pPr>
            <w:r>
              <w:t xml:space="preserve">DV1710 Projekt webbprogrammering fullstack</w:t>
            </w:r>
          </w:p>
        </w:tc>
        <w:tc>
          <w:tcPr/>
          <w:p>
            <w:pPr>
              <w:pStyle w:val="Compact"/>
            </w:pPr>
            <w:r>
              <w:t xml:space="preserve">mandatory</w:t>
            </w:r>
          </w:p>
        </w:tc>
        <w:tc>
          <w:tcPr/>
          <w:p>
            <w:pPr>
              <w:pStyle w:val="Compact"/>
            </w:pPr>
            <w:r>
              <w:t xml:space="preserve">OK</w:t>
            </w:r>
          </w:p>
        </w:tc>
        <w:tc>
          <w:tcPr/>
          <w:p>
            <w:pPr>
              <w:pStyle w:val="Compact"/>
            </w:pPr>
            <w:r>
              <w:t xml:space="preserve">OK</w:t>
            </w:r>
          </w:p>
        </w:tc>
        <w:tc>
          <w:tcPr/>
          <w:p>
            <w:pPr>
              <w:pStyle w:val="Compact"/>
            </w:pPr>
            <w:r>
              <w:rPr>
                <w:b/>
                <w:bCs/>
              </w:rPr>
              <w:t xml:space="preserve">OK</w:t>
            </w:r>
          </w:p>
        </w:tc>
      </w:tr>
    </w:tbl>
    <w:p>
      <w:pPr>
        <w:pStyle w:val="Heading2"/>
      </w:pPr>
      <w:bookmarkStart w:id="17" w:name="_6036b63a302fd24063a0649840ff2430056e9ec"/>
      <w:r>
        <w:t xml:space="preserve">7. Method and limits</w:t>
      </w:r>
      <w:bookmarkEnd w:id="17"/>
    </w:p>
    <w:p>
      <w:pPr>
        <w:pStyle w:val="Compact"/>
        <w:numPr>
          <w:ilvl w:val="0"/>
          <w:numId w:val="1004"/>
        </w:numPr>
      </w:pPr>
      <w:r>
        <w:t xml:space="preserve">Source: the validated per-run reports (</w:t>
      </w:r>
      <w:r>
        <w:rPr>
          <w:rStyle w:val="VerbatimChar"/>
        </w:rPr>
        <w:t xml:space="preserve">PAGWG-HT27__claude-code__claude-sonnet-5-5__2026-10-21.json</w:t>
      </w:r>
      <w:r>
        <w:t xml:space="preserve">,</w:t>
      </w:r>
      <w:r>
        <w:t xml:space="preserve"> </w:t>
      </w:r>
      <w:r>
        <w:rPr>
          <w:rStyle w:val="VerbatimChar"/>
        </w:rPr>
        <w:t xml:space="preserve">PAGWG-HT27__codex__gpt-5.4__2026-10-21.json</w:t>
      </w:r>
      <w:r>
        <w:t xml:space="preserve">). Each run reviewed the same program independently; this report only compares them.</w:t>
      </w:r>
    </w:p>
    <w:p>
      <w:pPr>
        <w:pStyle w:val="Compact"/>
        <w:numPr>
          <w:ilvl w:val="0"/>
          <w:numId w:val="1004"/>
        </w:numPr>
      </w:pPr>
      <w:r>
        <w:t xml:space="preserve">Consensus verdict = the verdict given by more than half of the runs, otherwise SPLIT. Issues are matched by course and finding type, so one problem reported under two types counts as two minority issues; look at the</w:t>
      </w:r>
      <w:r>
        <w:t xml:space="preserve"> </w:t>
      </w:r>
      <w:r>
        <w:t xml:space="preserve">“other runs”</w:t>
      </w:r>
      <w:r>
        <w:t xml:space="preserve"> </w:t>
      </w:r>
      <w:r>
        <w:t xml:space="preserve">column before dismissing a minority finding.</w:t>
      </w:r>
    </w:p>
    <w:p>
      <w:pPr>
        <w:pStyle w:val="Compact"/>
        <w:numPr>
          <w:ilvl w:val="0"/>
          <w:numId w:val="1004"/>
        </w:numPr>
      </w:pPr>
      <w:r>
        <w:t xml:space="preserve">Agreement between runs is not correctness: models can share the same blind spot. Majority support raises confidence, it does not prove the finding. All verdicts are LLM judgments of course-plan text and flag candidates for human review.</w:t>
      </w:r>
    </w:p>
    <w:p>
      <w:pPr>
        <w:pStyle w:val="Compact"/>
        <w:numPr>
          <w:ilvl w:val="0"/>
          <w:numId w:val="1004"/>
        </w:numPr>
      </w:pPr>
      <w:r>
        <w:t xml:space="preserve">The narrative in section 1 was written by an agent from the figures in this report; everything else is computed.</w:t>
      </w:r>
    </w:p>
    <w:sectPr>
      <w:footnotePr>
        <w:numRestart w:val="eachSect"/>
      </w:footnotePr>
      <w:pgSz w:w="16838" w:h="11906" w:orient="landscape"/>
      <w:pgMar w:top="850" w:right="850" w:bottom="850" w:left="850" w:header="425" w:footer="42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19"/>
        <w:szCs w:val="19"/>
        <w:lang w:val="en-US" w:eastAsia="zh-CN" w:bidi="ar-SA"/>
      </w:rPr>
    </w:rPrDefault>
    <w:pPrDefault>
      <w:pPr>
        <w:spacing w:after="1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108" w:type="dxa"/>
        <w:bottom w:w="4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2026-10-21T12:37:57Z</dcterms:created>
  <dcterms:modified xsi:type="dcterms:W3CDTF">2026-10-21T12:37:57Z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s">
    <vt:lpwstr>15</vt:lpwstr>
  </property>
  <property fmtid="{D5CDD505-2E9C-101B-9397-08002B2CF9AE}" pid="3" name="issues">
    <vt:lpwstr/>
  </property>
  <property fmtid="{D5CDD505-2E9C-101B-9397-08002B2CF9AE}" pid="4" name="program_code">
    <vt:lpwstr>PAGWG</vt:lpwstr>
  </property>
  <property fmtid="{D5CDD505-2E9C-101B-9397-08002B2CF9AE}" pid="5" name="program_name">
    <vt:lpwstr>Webbprogrammering</vt:lpwstr>
  </property>
  <property fmtid="{D5CDD505-2E9C-101B-9397-08002B2CF9AE}" pid="6" name="program_start">
    <vt:lpwstr>HT27</vt:lpwstr>
  </property>
  <property fmtid="{D5CDD505-2E9C-101B-9397-08002B2CF9AE}" pid="7" name="program_url">
    <vt:lpwstr>https://plan.bth.se/programmes/918bd1a0-43bf-11f1-9bfb-c8fd9ca940c5</vt:lpwstr>
  </property>
  <property fmtid="{D5CDD505-2E9C-101B-9397-08002B2CF9AE}" pid="8" name="report_date">
    <vt:lpwstr>2026-10-21</vt:lpwstr>
  </property>
  <property fmtid="{D5CDD505-2E9C-101B-9397-08002B2CF9AE}" pid="9" name="report_schema">
    <vt:lpwstr>qulrica/program-prerequisite-qa-combined@1</vt:lpwstr>
  </property>
  <property fmtid="{D5CDD505-2E9C-101B-9397-08002B2CF9AE}" pid="10" name="run_list">
    <vt:lpwstr/>
  </property>
  <property fmtid="{D5CDD505-2E9C-101B-9397-08002B2CF9AE}" pid="11" name="runs">
    <vt:lpwstr>2</vt:lpwstr>
  </property>
  <property fmtid="{D5CDD505-2E9C-101B-9397-08002B2CF9AE}" pid="12" name="unanimous_verdicts">
    <vt:lpwstr>14</vt:lpwstr>
  </property>
  <property fmtid="{D5CDD505-2E9C-101B-9397-08002B2CF9AE}" pid="13" name="verdict_disagreements">
    <vt:lpwstr>1</vt:lpwstr>
  </property>
</Properties>
</file>