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The most material area is Financial risk, rated Medium with 11 financial findings flagged, warranting closer monitoring. Legal, Cyber, Entity Existence, and Adverse Media risks are all rated Low, reflecting a generally clean posture across these domains. Notably, there is only one adverse media finding and one entity existence finding, both contained within Low risk categorizations. Overall, the supplier presents a low-risk profile with primary attention recommended on financial considerations.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2026-08-03)</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