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egfr-s19-2yuuo_yrfhmm">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a private Indian non-government company based in Mumbai, holds an overall Low risk rating. The most material risk area is Legal, assessed at Medium with one flagged finding, indicating a discrete but noteworthy compliance or contractual exposure. Financial risk is rated Low; however, the presence of 14 flagged findings suggests a higher volume of issues that merit ongoing monitoring despite the low assessed risk. Cyber and ESG risks are Low with a single flagged item, pointing to limited but manageable exposure. Adverse media risk is also Low with one flagged item, indicating a minimal external risk footprint. Entity existence risk is Low with two findings, consistent with routine verification observations rather than substantive concerns.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abuse-contact@publicdomainregistry.com, suresh.jaykumar@gmail.com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egfr-s19-2yuuo_yrfhmm" Type="http://schemas.openxmlformats.org/officeDocument/2006/relationships/hyperlink" Target="https://antelecltd.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