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carries an overall Low risk rating. The most material area of concern is Financial risk, rated Medium with 11 findings flagged. Legal and Cyber risks are both rated Low, indicating limited exposure in those domains. Entity Existence risk is Low with 1 finding flagged. Adverse Media is also rated Low despite 1 flagged item, suggesting no significant reputational escalation.</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2026-08-03)</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