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wuubhvr_0kwcohx1xtjrf">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demonstrates a Low overall risk posture. The most material risk area is Legal, which carries a Medium rating with one flagged finding. Financial risk is rated Low, though it has 14 flagged findings, indicating a higher volume of issues within a low-risk classification. Cyber and ESG risk is Low with one flagged finding, and Adverse Media risk is also Low with one flagged finding. Entity Existence risk is Low with two findings. Overall, risks outside the legal domain are assessed as Low, with notably clean areas in cyber and adverse media.</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j_f7iwtm87zny0ry5mgm0">
              <w:r>
                <w:rPr>
                  <w:rStyle w:val="Hyperlink"/>
                  <w:sz w:val="16"/>
                  <w:szCs w:val="16"/>
                </w:rPr>
                <w:t xml:space="preserve">www.publicdomainregistry.com</w:t>
              </w:r>
            </w:hyperlink>
          </w:p>
          <w:p>
            <w:hyperlink w:history="1" r:id="rIdqf4a4ni0yfxsjxwgllphd">
              <w:r>
                <w:rPr>
                  <w:rStyle w:val="Hyperlink"/>
                  <w:sz w:val="16"/>
                  <w:szCs w:val="16"/>
                </w:rPr>
                <w:t xml:space="preserve">www.publicdomainregistry.com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abuse-contact@publicdomainregistry.com, suresh.jaykumar@gmail.com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wuubhvr_0kwcohx1xtjrf" Type="http://schemas.openxmlformats.org/officeDocument/2006/relationships/hyperlink" Target="https://antelecltd.com/" TargetMode="External"/><Relationship Id="rIdj_f7iwtm87zny0ry5mgm0" Type="http://schemas.openxmlformats.org/officeDocument/2006/relationships/hyperlink" Target="http://www.publicdomainregistry.com" TargetMode="External"/><Relationship Id="rIdqf4a4ni0yfxsjxwgllphd" Type="http://schemas.openxmlformats.org/officeDocument/2006/relationships/hyperlink" Target="www.publicdomainregistr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