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9</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presents an overall Low risk rating. The most material risk area is Financial, rated Medium, with 11 financial findings flagged that warrant focused review. Legal, Cyber, and Entity Existence risks are each rated Low, with only one entity existence finding noted. Adverse Media risk is also Low, with just a single flagged item indicating minimal negative coverage. Overall, the risk posture is favorable, with financial controls and disclosures representing the primary area for enhanced diligence while other domains show low-risk profiles.</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Present)</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