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9B4F4" w14:textId="2375B76A" w:rsidR="00CC66B7" w:rsidRPr="0013571A" w:rsidRDefault="00CC66B7" w:rsidP="00326429">
      <w:pPr>
        <w:pStyle w:val="NoSpacing"/>
        <w:jc w:val="both"/>
        <w:rPr>
          <w:rFonts w:cstheme="minorHAnsi"/>
          <w:b/>
          <w:bCs/>
        </w:rPr>
      </w:pPr>
      <w:r w:rsidRPr="0013571A">
        <w:rPr>
          <w:rFonts w:cstheme="minorHAnsi"/>
          <w:b/>
          <w:bCs/>
        </w:rPr>
        <w:t xml:space="preserve">Executive Overview - Page 1 </w:t>
      </w:r>
      <w:r w:rsidR="00F81D8F" w:rsidRPr="0013571A">
        <w:rPr>
          <w:rFonts w:cstheme="minorHAnsi"/>
          <w:b/>
          <w:bCs/>
        </w:rPr>
        <w:t>from the Dashboard</w:t>
      </w:r>
    </w:p>
    <w:p w14:paraId="1E0C40B8" w14:textId="77777777" w:rsidR="00CC66B7" w:rsidRPr="0013571A" w:rsidRDefault="00CC66B7" w:rsidP="00326429">
      <w:pPr>
        <w:pStyle w:val="NoSpacing"/>
        <w:jc w:val="both"/>
        <w:rPr>
          <w:rFonts w:cstheme="minorHAnsi"/>
        </w:rPr>
      </w:pPr>
    </w:p>
    <w:p w14:paraId="3B3C20CC" w14:textId="4D80417C" w:rsidR="00083FC7" w:rsidRPr="0013571A" w:rsidRDefault="00083FC7" w:rsidP="00083FC7">
      <w:pPr>
        <w:pStyle w:val="NoSpacing"/>
        <w:jc w:val="both"/>
        <w:rPr>
          <w:rFonts w:cstheme="minorHAnsi"/>
        </w:rPr>
      </w:pPr>
      <w:r w:rsidRPr="0013571A">
        <w:rPr>
          <w:rFonts w:cstheme="minorHAnsi"/>
        </w:rPr>
        <w:t>1) Overall narrative for the first page of the dashboard:</w:t>
      </w:r>
    </w:p>
    <w:p w14:paraId="0CC2F70C" w14:textId="77777777" w:rsidR="00083FC7" w:rsidRPr="0013571A" w:rsidRDefault="00083FC7" w:rsidP="00083FC7">
      <w:pPr>
        <w:pStyle w:val="NoSpacing"/>
        <w:jc w:val="both"/>
        <w:rPr>
          <w:rFonts w:cstheme="minorHAnsi"/>
        </w:rPr>
      </w:pPr>
      <w:r w:rsidRPr="0013571A">
        <w:rPr>
          <w:rFonts w:cstheme="minorHAnsi"/>
        </w:rPr>
        <w:t>In 2025, Société Générale delivers one of its strongest performances of the decade, supported by a resilient revenue base, solid profitability, and robust capital and liquidity positions. Net Income reaches 6.0bn, marking a significant recovery from the pandemic</w:t>
      </w:r>
      <w:r w:rsidRPr="0013571A">
        <w:rPr>
          <w:rFonts w:ascii="Cambria Math" w:hAnsi="Cambria Math" w:cs="Cambria Math"/>
        </w:rPr>
        <w:t>‑</w:t>
      </w:r>
      <w:r w:rsidRPr="0013571A">
        <w:rPr>
          <w:rFonts w:cstheme="minorHAnsi"/>
        </w:rPr>
        <w:t>affected years and confirming the bank</w:t>
      </w:r>
      <w:r w:rsidRPr="0013571A">
        <w:rPr>
          <w:rFonts w:ascii="Calibri" w:hAnsi="Calibri" w:cs="Calibri"/>
        </w:rPr>
        <w:t>’</w:t>
      </w:r>
      <w:r w:rsidRPr="0013571A">
        <w:rPr>
          <w:rFonts w:cstheme="minorHAnsi"/>
        </w:rPr>
        <w:t>s restored earnings capacity. Total Revenues rise to 25.78bn, driven primarily by Non</w:t>
      </w:r>
      <w:r w:rsidRPr="0013571A">
        <w:rPr>
          <w:rFonts w:ascii="Cambria Math" w:hAnsi="Cambria Math" w:cs="Cambria Math"/>
        </w:rPr>
        <w:t>‑</w:t>
      </w:r>
      <w:r w:rsidRPr="0013571A">
        <w:rPr>
          <w:rFonts w:cstheme="minorHAnsi"/>
        </w:rPr>
        <w:t>Interest Income (17.18bn), which accounts for 63% of the 2025 revenue mix. This shift toward fee</w:t>
      </w:r>
      <w:r w:rsidRPr="0013571A">
        <w:rPr>
          <w:rFonts w:ascii="Cambria Math" w:hAnsi="Cambria Math" w:cs="Cambria Math"/>
        </w:rPr>
        <w:t>‑</w:t>
      </w:r>
      <w:r w:rsidRPr="0013571A">
        <w:rPr>
          <w:rFonts w:cstheme="minorHAnsi"/>
        </w:rPr>
        <w:t>based and market</w:t>
      </w:r>
      <w:r w:rsidRPr="0013571A">
        <w:rPr>
          <w:rFonts w:ascii="Cambria Math" w:hAnsi="Cambria Math" w:cs="Cambria Math"/>
        </w:rPr>
        <w:t>‑</w:t>
      </w:r>
      <w:r w:rsidRPr="0013571A">
        <w:rPr>
          <w:rFonts w:cstheme="minorHAnsi"/>
        </w:rPr>
        <w:t>related income is reflected in the Revenue Composition chart and highlights a structurally diversified earnings model.</w:t>
      </w:r>
    </w:p>
    <w:p w14:paraId="555AEE2C" w14:textId="420D276C" w:rsidR="00083FC7" w:rsidRPr="0013571A" w:rsidRDefault="00083FC7" w:rsidP="00083FC7">
      <w:pPr>
        <w:pStyle w:val="NoSpacing"/>
        <w:jc w:val="both"/>
        <w:rPr>
          <w:rFonts w:cstheme="minorHAnsi"/>
        </w:rPr>
      </w:pPr>
      <w:r w:rsidRPr="0013571A">
        <w:rPr>
          <w:rFonts w:cstheme="minorHAnsi"/>
        </w:rPr>
        <w:t>Profitability ratios show a clear upward trend. Return on Assets (ROA) increases to 0.45%, the highest level in the 2016</w:t>
      </w:r>
      <w:r w:rsidR="0013571A" w:rsidRPr="0013571A">
        <w:rPr>
          <w:rFonts w:cstheme="minorHAnsi"/>
        </w:rPr>
        <w:t>-</w:t>
      </w:r>
      <w:r w:rsidRPr="0013571A">
        <w:rPr>
          <w:rFonts w:cstheme="minorHAnsi"/>
        </w:rPr>
        <w:t>2025 period, while Return on Equity (ROE) strengthens to 8.84%, supported by higher net income and stable equity growth. The decade</w:t>
      </w:r>
      <w:r w:rsidRPr="0013571A">
        <w:rPr>
          <w:rFonts w:ascii="Cambria Math" w:hAnsi="Cambria Math" w:cs="Cambria Math"/>
        </w:rPr>
        <w:t>‑</w:t>
      </w:r>
      <w:r w:rsidRPr="0013571A">
        <w:rPr>
          <w:rFonts w:cstheme="minorHAnsi"/>
        </w:rPr>
        <w:t>long trends in ROA and ROE confirm a sustained improvement in operational efficiency and balance sheet utilization.</w:t>
      </w:r>
    </w:p>
    <w:p w14:paraId="0BF51D23" w14:textId="77777777" w:rsidR="00083FC7" w:rsidRPr="0013571A" w:rsidRDefault="00083FC7" w:rsidP="00083FC7">
      <w:pPr>
        <w:pStyle w:val="NoSpacing"/>
        <w:jc w:val="both"/>
        <w:rPr>
          <w:rFonts w:cstheme="minorHAnsi"/>
        </w:rPr>
      </w:pPr>
      <w:r w:rsidRPr="0013571A">
        <w:rPr>
          <w:rFonts w:cstheme="minorHAnsi"/>
        </w:rPr>
        <w:t>The bank maintains a strong liquidity position, with a Loan</w:t>
      </w:r>
      <w:r w:rsidRPr="0013571A">
        <w:rPr>
          <w:rFonts w:ascii="Cambria Math" w:hAnsi="Cambria Math" w:cs="Cambria Math"/>
        </w:rPr>
        <w:t>‑</w:t>
      </w:r>
      <w:r w:rsidRPr="0013571A">
        <w:rPr>
          <w:rFonts w:cstheme="minorHAnsi"/>
        </w:rPr>
        <w:t>to</w:t>
      </w:r>
      <w:r w:rsidRPr="0013571A">
        <w:rPr>
          <w:rFonts w:ascii="Cambria Math" w:hAnsi="Cambria Math" w:cs="Cambria Math"/>
        </w:rPr>
        <w:t>‑</w:t>
      </w:r>
      <w:r w:rsidRPr="0013571A">
        <w:rPr>
          <w:rFonts w:cstheme="minorHAnsi"/>
        </w:rPr>
        <w:t xml:space="preserve">Deposit Ratio of 74.6% in 2025 </w:t>
      </w:r>
      <w:r w:rsidRPr="0013571A">
        <w:rPr>
          <w:rFonts w:ascii="Calibri" w:hAnsi="Calibri" w:cs="Calibri"/>
        </w:rPr>
        <w:t>—</w:t>
      </w:r>
      <w:r w:rsidRPr="0013571A">
        <w:rPr>
          <w:rFonts w:cstheme="minorHAnsi"/>
        </w:rPr>
        <w:t xml:space="preserve"> well below 100% and indicative of a conservative funding profile. Deposits remain the core funding source, while loan volumes have moderated in recent years, easing pressure on liquidity buffers.</w:t>
      </w:r>
    </w:p>
    <w:p w14:paraId="1A3637E3" w14:textId="77777777" w:rsidR="00083FC7" w:rsidRPr="0013571A" w:rsidRDefault="00083FC7" w:rsidP="00083FC7">
      <w:pPr>
        <w:pStyle w:val="NoSpacing"/>
        <w:jc w:val="both"/>
        <w:rPr>
          <w:rFonts w:cstheme="minorHAnsi"/>
        </w:rPr>
      </w:pPr>
      <w:r w:rsidRPr="0013571A">
        <w:rPr>
          <w:rFonts w:cstheme="minorHAnsi"/>
        </w:rPr>
        <w:t>Capital adequacy remains a key strength. The Tier 1 Capital Ratio stands at 16.01%, and the Total Capital Ratio at 18.57%, both comfortably above regulatory minima (6% and 8%, respectively). These levels reflect prudent risk</w:t>
      </w:r>
      <w:r w:rsidRPr="0013571A">
        <w:rPr>
          <w:rFonts w:ascii="Cambria Math" w:hAnsi="Cambria Math" w:cs="Cambria Math"/>
        </w:rPr>
        <w:t>‑</w:t>
      </w:r>
      <w:r w:rsidRPr="0013571A">
        <w:rPr>
          <w:rFonts w:cstheme="minorHAnsi"/>
        </w:rPr>
        <w:t>weighted asset management, consistent internal capital generation, and a stable equity base.</w:t>
      </w:r>
    </w:p>
    <w:p w14:paraId="22E9C435" w14:textId="0E06DEA8" w:rsidR="00083FC7" w:rsidRPr="0013571A" w:rsidRDefault="00083FC7" w:rsidP="00083FC7">
      <w:pPr>
        <w:pStyle w:val="NoSpacing"/>
        <w:jc w:val="both"/>
        <w:rPr>
          <w:rFonts w:cstheme="minorHAnsi"/>
        </w:rPr>
      </w:pPr>
      <w:r w:rsidRPr="0013571A">
        <w:rPr>
          <w:rFonts w:cstheme="minorHAnsi"/>
        </w:rPr>
        <w:t>Overall, the dashboard shows a bank that enters 2025 with solid profitability, diversified revenues, strong capital buffers, and a conservative liquidity profile. The combined trends across income, efficiency, funding, and capital metrics point to a resilient and well</w:t>
      </w:r>
      <w:r w:rsidRPr="0013571A">
        <w:rPr>
          <w:rFonts w:ascii="Cambria Math" w:hAnsi="Cambria Math" w:cs="Cambria Math"/>
        </w:rPr>
        <w:t>‑</w:t>
      </w:r>
      <w:r w:rsidRPr="0013571A">
        <w:rPr>
          <w:rFonts w:cstheme="minorHAnsi"/>
        </w:rPr>
        <w:t>positioned institution, capable of supporting growth while maintaining robust financial stability.</w:t>
      </w:r>
    </w:p>
    <w:p w14:paraId="6F0A81F2" w14:textId="77777777" w:rsidR="00083FC7" w:rsidRPr="0013571A" w:rsidRDefault="00083FC7" w:rsidP="00326429">
      <w:pPr>
        <w:pStyle w:val="NoSpacing"/>
        <w:jc w:val="both"/>
        <w:rPr>
          <w:rFonts w:cstheme="minorHAnsi"/>
        </w:rPr>
      </w:pPr>
    </w:p>
    <w:p w14:paraId="2E1F7788" w14:textId="26B80AFF" w:rsidR="00507E5C" w:rsidRPr="0013571A" w:rsidRDefault="00083FC7" w:rsidP="00326429">
      <w:pPr>
        <w:pStyle w:val="NoSpacing"/>
        <w:jc w:val="both"/>
        <w:rPr>
          <w:rFonts w:cstheme="minorHAnsi"/>
        </w:rPr>
      </w:pPr>
      <w:r w:rsidRPr="0013571A">
        <w:rPr>
          <w:rFonts w:cstheme="minorHAnsi"/>
        </w:rPr>
        <w:t>2</w:t>
      </w:r>
      <w:r w:rsidR="00507E5C" w:rsidRPr="0013571A">
        <w:rPr>
          <w:rFonts w:cstheme="minorHAnsi"/>
        </w:rPr>
        <w:t>) Card Charts</w:t>
      </w:r>
      <w:r w:rsidR="00F81D8F" w:rsidRPr="0013571A">
        <w:rPr>
          <w:rFonts w:cstheme="minorHAnsi"/>
        </w:rPr>
        <w:t xml:space="preserve"> with indicators</w:t>
      </w:r>
      <w:r w:rsidR="00CC66B7" w:rsidRPr="0013571A">
        <w:rPr>
          <w:rFonts w:cstheme="minorHAnsi"/>
        </w:rPr>
        <w:t xml:space="preserve"> for the year 2025</w:t>
      </w:r>
    </w:p>
    <w:p w14:paraId="1E326F4E" w14:textId="0D3633BC" w:rsidR="00507E5C" w:rsidRPr="0013571A" w:rsidRDefault="0013571A" w:rsidP="00326429">
      <w:pPr>
        <w:pStyle w:val="NoSpacing"/>
        <w:jc w:val="both"/>
        <w:rPr>
          <w:rFonts w:cstheme="minorHAnsi"/>
        </w:rPr>
      </w:pPr>
      <w:r w:rsidRPr="0013571A">
        <w:rPr>
          <w:rFonts w:cstheme="minorHAnsi"/>
        </w:rPr>
        <w:t>Société Générale</w:t>
      </w:r>
      <w:r w:rsidR="00507E5C" w:rsidRPr="0013571A">
        <w:rPr>
          <w:rFonts w:cstheme="minorHAnsi"/>
        </w:rPr>
        <w:t xml:space="preserve"> closes 2025 with a Net Income of €6 billion, marking a strong recovery phase after the volatility observed in 2020</w:t>
      </w:r>
      <w:r w:rsidRPr="0013571A">
        <w:rPr>
          <w:rFonts w:cstheme="minorHAnsi"/>
        </w:rPr>
        <w:t>-</w:t>
      </w:r>
      <w:r w:rsidR="00507E5C" w:rsidRPr="0013571A">
        <w:rPr>
          <w:rFonts w:cstheme="minorHAnsi"/>
        </w:rPr>
        <w:t>2022. This level of profitability reflects improved operational efficiency and a more favorable macro</w:t>
      </w:r>
      <w:r w:rsidR="00507E5C" w:rsidRPr="0013571A">
        <w:rPr>
          <w:rFonts w:ascii="Cambria Math" w:hAnsi="Cambria Math" w:cs="Cambria Math"/>
        </w:rPr>
        <w:t>‑</w:t>
      </w:r>
      <w:r w:rsidR="00507E5C" w:rsidRPr="0013571A">
        <w:rPr>
          <w:rFonts w:cstheme="minorHAnsi"/>
        </w:rPr>
        <w:t>financial environment.</w:t>
      </w:r>
    </w:p>
    <w:p w14:paraId="7D0032C9" w14:textId="77777777" w:rsidR="00507E5C" w:rsidRPr="0013571A" w:rsidRDefault="00507E5C" w:rsidP="00326429">
      <w:pPr>
        <w:pStyle w:val="NoSpacing"/>
        <w:jc w:val="both"/>
        <w:rPr>
          <w:rFonts w:cstheme="minorHAnsi"/>
        </w:rPr>
      </w:pPr>
      <w:r w:rsidRPr="0013571A">
        <w:rPr>
          <w:rFonts w:cstheme="minorHAnsi"/>
        </w:rPr>
        <w:t>Total Revenues reach €25.78 billion, continuing the upward trajectory from 2021 onward. The bank consolidates its revenue base through both interest</w:t>
      </w:r>
      <w:r w:rsidRPr="0013571A">
        <w:rPr>
          <w:rFonts w:ascii="Cambria Math" w:hAnsi="Cambria Math" w:cs="Cambria Math"/>
        </w:rPr>
        <w:t>‑</w:t>
      </w:r>
      <w:r w:rsidRPr="0013571A">
        <w:rPr>
          <w:rFonts w:cstheme="minorHAnsi"/>
        </w:rPr>
        <w:t>related and fee</w:t>
      </w:r>
      <w:r w:rsidRPr="0013571A">
        <w:rPr>
          <w:rFonts w:ascii="Cambria Math" w:hAnsi="Cambria Math" w:cs="Cambria Math"/>
        </w:rPr>
        <w:t>‑</w:t>
      </w:r>
      <w:r w:rsidRPr="0013571A">
        <w:rPr>
          <w:rFonts w:cstheme="minorHAnsi"/>
        </w:rPr>
        <w:t>based activities.</w:t>
      </w:r>
    </w:p>
    <w:p w14:paraId="59ED516F" w14:textId="79C891CE" w:rsidR="00507E5C" w:rsidRPr="0013571A" w:rsidRDefault="00507E5C" w:rsidP="00326429">
      <w:pPr>
        <w:pStyle w:val="NoSpacing"/>
        <w:jc w:val="both"/>
        <w:rPr>
          <w:rFonts w:cstheme="minorHAnsi"/>
        </w:rPr>
      </w:pPr>
      <w:r w:rsidRPr="0013571A">
        <w:rPr>
          <w:rFonts w:cstheme="minorHAnsi"/>
        </w:rPr>
        <w:t>ROA increases to 0.45%, the highest level in the 2016</w:t>
      </w:r>
      <w:r w:rsidR="0013571A" w:rsidRPr="0013571A">
        <w:rPr>
          <w:rFonts w:cstheme="minorHAnsi"/>
        </w:rPr>
        <w:t>-</w:t>
      </w:r>
      <w:r w:rsidRPr="0013571A">
        <w:rPr>
          <w:rFonts w:cstheme="minorHAnsi"/>
        </w:rPr>
        <w:t>2025 period. This indicates improved asset productivity and a more efficient balance</w:t>
      </w:r>
      <w:r w:rsidRPr="0013571A">
        <w:rPr>
          <w:rFonts w:ascii="Cambria Math" w:hAnsi="Cambria Math" w:cs="Cambria Math"/>
        </w:rPr>
        <w:t>‑</w:t>
      </w:r>
      <w:r w:rsidRPr="0013571A">
        <w:rPr>
          <w:rFonts w:cstheme="minorHAnsi"/>
        </w:rPr>
        <w:t>sheet structure.</w:t>
      </w:r>
    </w:p>
    <w:p w14:paraId="2950F885" w14:textId="77777777" w:rsidR="00507E5C" w:rsidRPr="0013571A" w:rsidRDefault="00507E5C" w:rsidP="00326429">
      <w:pPr>
        <w:pStyle w:val="NoSpacing"/>
        <w:jc w:val="both"/>
        <w:rPr>
          <w:rFonts w:cstheme="minorHAnsi"/>
        </w:rPr>
      </w:pPr>
      <w:r w:rsidRPr="0013571A">
        <w:rPr>
          <w:rFonts w:cstheme="minorHAnsi"/>
        </w:rPr>
        <w:t>ROE rises to 8.84%, reflecting stronger internal capital generation and improved profitability relative to equity.</w:t>
      </w:r>
    </w:p>
    <w:p w14:paraId="1D60B6E4" w14:textId="554E5D48" w:rsidR="00507E5C" w:rsidRPr="0013571A" w:rsidRDefault="00507E5C" w:rsidP="00326429">
      <w:pPr>
        <w:pStyle w:val="NoSpacing"/>
        <w:jc w:val="both"/>
        <w:rPr>
          <w:rFonts w:cstheme="minorHAnsi"/>
        </w:rPr>
      </w:pPr>
      <w:r w:rsidRPr="0013571A">
        <w:rPr>
          <w:rFonts w:cstheme="minorHAnsi"/>
        </w:rPr>
        <w:t>The</w:t>
      </w:r>
      <w:r w:rsidR="00083FC7" w:rsidRPr="0013571A">
        <w:rPr>
          <w:rFonts w:cstheme="minorHAnsi"/>
        </w:rPr>
        <w:t xml:space="preserve"> Loan to Deposit</w:t>
      </w:r>
      <w:r w:rsidRPr="0013571A">
        <w:rPr>
          <w:rFonts w:cstheme="minorHAnsi"/>
        </w:rPr>
        <w:t xml:space="preserve"> ratio stands at 74.6%, indicating a conservative lending position relative to the deposit base. This supports liquidity resilience and aligns with post</w:t>
      </w:r>
      <w:r w:rsidRPr="0013571A">
        <w:rPr>
          <w:rFonts w:ascii="Cambria Math" w:hAnsi="Cambria Math" w:cs="Cambria Math"/>
        </w:rPr>
        <w:t>‑</w:t>
      </w:r>
      <w:r w:rsidRPr="0013571A">
        <w:rPr>
          <w:rFonts w:cstheme="minorHAnsi"/>
        </w:rPr>
        <w:t>crisis prudential expectations.</w:t>
      </w:r>
    </w:p>
    <w:p w14:paraId="03F2B19B" w14:textId="77777777" w:rsidR="00507E5C" w:rsidRPr="0013571A" w:rsidRDefault="00507E5C" w:rsidP="00326429">
      <w:pPr>
        <w:pStyle w:val="NoSpacing"/>
        <w:jc w:val="both"/>
        <w:rPr>
          <w:rFonts w:cstheme="minorHAnsi"/>
        </w:rPr>
      </w:pPr>
      <w:r w:rsidRPr="0013571A">
        <w:rPr>
          <w:rFonts w:cstheme="minorHAnsi"/>
        </w:rPr>
        <w:t>Tier 1 Capital Ratio remains robust at 16.01%, well above the regulatory minimum of 6%. This highlights strong solvency and capital adequacy.</w:t>
      </w:r>
    </w:p>
    <w:p w14:paraId="57243A89" w14:textId="39580D4C" w:rsidR="00507E5C" w:rsidRPr="0013571A" w:rsidRDefault="00507E5C" w:rsidP="00326429">
      <w:pPr>
        <w:pStyle w:val="NoSpacing"/>
        <w:jc w:val="both"/>
        <w:rPr>
          <w:rFonts w:cstheme="minorHAnsi"/>
        </w:rPr>
      </w:pPr>
      <w:r w:rsidRPr="0013571A">
        <w:rPr>
          <w:rFonts w:cstheme="minorHAnsi"/>
        </w:rPr>
        <w:t>The Total Capital Ratio reaches 18.57%, maintaining a comfortable buffer above the 8% minimum requirement.</w:t>
      </w:r>
    </w:p>
    <w:p w14:paraId="23E67782" w14:textId="77777777" w:rsidR="00507E5C" w:rsidRPr="0013571A" w:rsidRDefault="00507E5C" w:rsidP="00326429">
      <w:pPr>
        <w:pStyle w:val="NoSpacing"/>
        <w:jc w:val="both"/>
        <w:rPr>
          <w:rFonts w:cstheme="minorHAnsi"/>
        </w:rPr>
      </w:pPr>
    </w:p>
    <w:p w14:paraId="5B837E15" w14:textId="0859EE72" w:rsidR="00507E5C" w:rsidRPr="0013571A" w:rsidRDefault="00507E5C" w:rsidP="00326429">
      <w:pPr>
        <w:pStyle w:val="NoSpacing"/>
        <w:jc w:val="both"/>
        <w:rPr>
          <w:rFonts w:cstheme="minorHAnsi"/>
        </w:rPr>
      </w:pPr>
      <w:r w:rsidRPr="0013571A">
        <w:rPr>
          <w:rFonts w:cstheme="minorHAnsi"/>
        </w:rPr>
        <w:t>2) Line Charts</w:t>
      </w:r>
      <w:r w:rsidR="00E91007" w:rsidRPr="0013571A">
        <w:rPr>
          <w:rFonts w:cstheme="minorHAnsi"/>
        </w:rPr>
        <w:t xml:space="preserve"> with Net Income and Total Revenues</w:t>
      </w:r>
      <w:r w:rsidRPr="0013571A">
        <w:rPr>
          <w:rFonts w:cstheme="minorHAnsi"/>
        </w:rPr>
        <w:t xml:space="preserve"> </w:t>
      </w:r>
      <w:r w:rsidR="00E91007" w:rsidRPr="0013571A">
        <w:rPr>
          <w:rFonts w:cstheme="minorHAnsi"/>
        </w:rPr>
        <w:t>(</w:t>
      </w:r>
      <w:r w:rsidRPr="0013571A">
        <w:rPr>
          <w:rFonts w:cstheme="minorHAnsi"/>
        </w:rPr>
        <w:t>2016</w:t>
      </w:r>
      <w:r w:rsidR="00E91007" w:rsidRPr="0013571A">
        <w:rPr>
          <w:rFonts w:cstheme="minorHAnsi"/>
        </w:rPr>
        <w:t xml:space="preserve"> </w:t>
      </w:r>
      <w:r w:rsidR="00CC66B7" w:rsidRPr="0013571A">
        <w:rPr>
          <w:rFonts w:cstheme="minorHAnsi"/>
        </w:rPr>
        <w:t>-</w:t>
      </w:r>
      <w:r w:rsidR="00E91007" w:rsidRPr="0013571A">
        <w:rPr>
          <w:rFonts w:cstheme="minorHAnsi"/>
        </w:rPr>
        <w:t xml:space="preserve"> </w:t>
      </w:r>
      <w:r w:rsidRPr="0013571A">
        <w:rPr>
          <w:rFonts w:cstheme="minorHAnsi"/>
        </w:rPr>
        <w:t>2025</w:t>
      </w:r>
      <w:r w:rsidR="00E91007" w:rsidRPr="0013571A">
        <w:rPr>
          <w:rFonts w:cstheme="minorHAnsi"/>
        </w:rPr>
        <w:t>)</w:t>
      </w:r>
    </w:p>
    <w:p w14:paraId="4128F176" w14:textId="77777777" w:rsidR="00507E5C" w:rsidRPr="0013571A" w:rsidRDefault="00507E5C" w:rsidP="00326429">
      <w:pPr>
        <w:pStyle w:val="NoSpacing"/>
        <w:jc w:val="both"/>
        <w:rPr>
          <w:rFonts w:cstheme="minorHAnsi"/>
        </w:rPr>
      </w:pPr>
      <w:r w:rsidRPr="0013571A">
        <w:rPr>
          <w:rFonts w:cstheme="minorHAnsi"/>
        </w:rPr>
        <w:t>The Net Income trend shows three distinct phases:</w:t>
      </w:r>
    </w:p>
    <w:p w14:paraId="3189DB05" w14:textId="5E79A38D" w:rsidR="00507E5C" w:rsidRPr="0013571A" w:rsidRDefault="00507E5C" w:rsidP="0013571A">
      <w:pPr>
        <w:pStyle w:val="NoSpacing"/>
        <w:numPr>
          <w:ilvl w:val="0"/>
          <w:numId w:val="26"/>
        </w:numPr>
        <w:ind w:left="567" w:hanging="283"/>
        <w:jc w:val="both"/>
        <w:rPr>
          <w:rFonts w:cstheme="minorHAnsi"/>
        </w:rPr>
      </w:pPr>
      <w:r w:rsidRPr="0013571A">
        <w:rPr>
          <w:rFonts w:cstheme="minorHAnsi"/>
        </w:rPr>
        <w:t>2016</w:t>
      </w:r>
      <w:r w:rsidR="0013571A" w:rsidRPr="0013571A">
        <w:rPr>
          <w:rFonts w:cstheme="minorHAnsi"/>
        </w:rPr>
        <w:t>-</w:t>
      </w:r>
      <w:r w:rsidRPr="0013571A">
        <w:rPr>
          <w:rFonts w:cstheme="minorHAnsi"/>
        </w:rPr>
        <w:t>2019: Stable profitability around €3</w:t>
      </w:r>
      <w:r w:rsidR="00CC66B7" w:rsidRPr="0013571A">
        <w:rPr>
          <w:rFonts w:cstheme="minorHAnsi"/>
        </w:rPr>
        <w:t>-</w:t>
      </w:r>
      <w:r w:rsidRPr="0013571A">
        <w:rPr>
          <w:rFonts w:cstheme="minorHAnsi"/>
        </w:rPr>
        <w:t>4 billion.</w:t>
      </w:r>
    </w:p>
    <w:p w14:paraId="021AC4D7" w14:textId="77777777" w:rsidR="00507E5C" w:rsidRPr="0013571A" w:rsidRDefault="00507E5C" w:rsidP="0013571A">
      <w:pPr>
        <w:pStyle w:val="NoSpacing"/>
        <w:numPr>
          <w:ilvl w:val="0"/>
          <w:numId w:val="26"/>
        </w:numPr>
        <w:ind w:left="567" w:hanging="283"/>
        <w:jc w:val="both"/>
        <w:rPr>
          <w:rFonts w:cstheme="minorHAnsi"/>
        </w:rPr>
      </w:pPr>
      <w:r w:rsidRPr="0013571A">
        <w:rPr>
          <w:rFonts w:cstheme="minorHAnsi"/>
        </w:rPr>
        <w:lastRenderedPageBreak/>
        <w:t>2020: A sharp decline into negative territory (</w:t>
      </w:r>
      <w:r w:rsidRPr="0013571A">
        <w:rPr>
          <w:rFonts w:ascii="Cambria Math" w:hAnsi="Cambria Math" w:cs="Cambria Math"/>
        </w:rPr>
        <w:t>‑</w:t>
      </w:r>
      <w:r w:rsidRPr="0013571A">
        <w:rPr>
          <w:rFonts w:cstheme="minorHAnsi"/>
        </w:rPr>
        <w:t>€0.26 billion) due to pandemic</w:t>
      </w:r>
      <w:r w:rsidRPr="0013571A">
        <w:rPr>
          <w:rFonts w:ascii="Cambria Math" w:hAnsi="Cambria Math" w:cs="Cambria Math"/>
        </w:rPr>
        <w:t>‑</w:t>
      </w:r>
      <w:r w:rsidRPr="0013571A">
        <w:rPr>
          <w:rFonts w:cstheme="minorHAnsi"/>
        </w:rPr>
        <w:t>related credit costs.</w:t>
      </w:r>
    </w:p>
    <w:p w14:paraId="4B2847A4" w14:textId="198A0119" w:rsidR="00507E5C" w:rsidRPr="0013571A" w:rsidRDefault="00507E5C" w:rsidP="0013571A">
      <w:pPr>
        <w:pStyle w:val="NoSpacing"/>
        <w:numPr>
          <w:ilvl w:val="0"/>
          <w:numId w:val="26"/>
        </w:numPr>
        <w:ind w:left="567" w:hanging="283"/>
        <w:jc w:val="both"/>
        <w:rPr>
          <w:rFonts w:cstheme="minorHAnsi"/>
        </w:rPr>
      </w:pPr>
      <w:r w:rsidRPr="0013571A">
        <w:rPr>
          <w:rFonts w:cstheme="minorHAnsi"/>
        </w:rPr>
        <w:t>2021</w:t>
      </w:r>
      <w:r w:rsidR="0013571A" w:rsidRPr="0013571A">
        <w:rPr>
          <w:rFonts w:cstheme="minorHAnsi"/>
        </w:rPr>
        <w:t>-</w:t>
      </w:r>
      <w:r w:rsidRPr="0013571A">
        <w:rPr>
          <w:rFonts w:cstheme="minorHAnsi"/>
        </w:rPr>
        <w:t>2025: A strong recovery, culminating in €6 billion in 2025, the highest in the series.</w:t>
      </w:r>
    </w:p>
    <w:p w14:paraId="3BC08BA2" w14:textId="77777777" w:rsidR="00507E5C" w:rsidRPr="0013571A" w:rsidRDefault="00507E5C" w:rsidP="00326429">
      <w:pPr>
        <w:pStyle w:val="NoSpacing"/>
        <w:jc w:val="both"/>
        <w:rPr>
          <w:rFonts w:cstheme="minorHAnsi"/>
        </w:rPr>
      </w:pPr>
      <w:r w:rsidRPr="0013571A">
        <w:rPr>
          <w:rFonts w:cstheme="minorHAnsi"/>
        </w:rPr>
        <w:t>This pattern reflects the bank’s resilience and effective post</w:t>
      </w:r>
      <w:r w:rsidRPr="0013571A">
        <w:rPr>
          <w:rFonts w:ascii="Cambria Math" w:hAnsi="Cambria Math" w:cs="Cambria Math"/>
        </w:rPr>
        <w:t>‑</w:t>
      </w:r>
      <w:r w:rsidRPr="0013571A">
        <w:rPr>
          <w:rFonts w:cstheme="minorHAnsi"/>
        </w:rPr>
        <w:t>crisis restructuring.</w:t>
      </w:r>
    </w:p>
    <w:p w14:paraId="1B371037" w14:textId="13F68665" w:rsidR="00507E5C" w:rsidRPr="0013571A" w:rsidRDefault="0013571A" w:rsidP="00326429">
      <w:pPr>
        <w:pStyle w:val="NoSpacing"/>
        <w:jc w:val="both"/>
        <w:rPr>
          <w:rFonts w:cstheme="minorHAnsi"/>
        </w:rPr>
      </w:pPr>
      <w:r w:rsidRPr="0013571A">
        <w:rPr>
          <w:rFonts w:cstheme="minorHAnsi"/>
        </w:rPr>
        <w:t xml:space="preserve">The </w:t>
      </w:r>
      <w:r w:rsidR="00E91007" w:rsidRPr="0013571A">
        <w:rPr>
          <w:rFonts w:cstheme="minorHAnsi"/>
        </w:rPr>
        <w:t xml:space="preserve">Total </w:t>
      </w:r>
      <w:r w:rsidR="00507E5C" w:rsidRPr="0013571A">
        <w:rPr>
          <w:rFonts w:cstheme="minorHAnsi"/>
        </w:rPr>
        <w:t>Revenues remain relatively stable between €23</w:t>
      </w:r>
      <w:r w:rsidRPr="0013571A">
        <w:rPr>
          <w:rFonts w:cstheme="minorHAnsi"/>
        </w:rPr>
        <w:t>-</w:t>
      </w:r>
      <w:r w:rsidR="00507E5C" w:rsidRPr="0013571A">
        <w:rPr>
          <w:rFonts w:cstheme="minorHAnsi"/>
        </w:rPr>
        <w:t>25 billion, with a temporary contraction in 2020.</w:t>
      </w:r>
      <w:r w:rsidRPr="0013571A">
        <w:rPr>
          <w:rFonts w:cstheme="minorHAnsi"/>
        </w:rPr>
        <w:t xml:space="preserve"> </w:t>
      </w:r>
      <w:r w:rsidR="00507E5C" w:rsidRPr="0013571A">
        <w:rPr>
          <w:rFonts w:cstheme="minorHAnsi"/>
        </w:rPr>
        <w:t>From 2021 onward, revenues grow steadily, reaching €25.78 billion in 2025, supported by both interest and non</w:t>
      </w:r>
      <w:r w:rsidR="00507E5C" w:rsidRPr="0013571A">
        <w:rPr>
          <w:rFonts w:ascii="Cambria Math" w:hAnsi="Cambria Math" w:cs="Cambria Math"/>
        </w:rPr>
        <w:t>‑</w:t>
      </w:r>
      <w:r w:rsidR="00507E5C" w:rsidRPr="0013571A">
        <w:rPr>
          <w:rFonts w:cstheme="minorHAnsi"/>
        </w:rPr>
        <w:t>interest income.</w:t>
      </w:r>
    </w:p>
    <w:p w14:paraId="2A75DCBB" w14:textId="77777777" w:rsidR="00507E5C" w:rsidRPr="0013571A" w:rsidRDefault="00507E5C" w:rsidP="00326429">
      <w:pPr>
        <w:pStyle w:val="NoSpacing"/>
        <w:jc w:val="both"/>
        <w:rPr>
          <w:rFonts w:cstheme="minorHAnsi"/>
        </w:rPr>
      </w:pPr>
    </w:p>
    <w:p w14:paraId="06A1C81B" w14:textId="58CD60F4" w:rsidR="00507E5C" w:rsidRPr="0013571A" w:rsidRDefault="0013571A" w:rsidP="00326429">
      <w:pPr>
        <w:pStyle w:val="NoSpacing"/>
        <w:jc w:val="both"/>
        <w:rPr>
          <w:rFonts w:cstheme="minorHAnsi"/>
        </w:rPr>
      </w:pPr>
      <w:r w:rsidRPr="0013571A">
        <w:rPr>
          <w:rFonts w:cstheme="minorHAnsi"/>
        </w:rPr>
        <w:t xml:space="preserve">3) Column charts with </w:t>
      </w:r>
      <w:r w:rsidR="00507E5C" w:rsidRPr="0013571A">
        <w:rPr>
          <w:rFonts w:cstheme="minorHAnsi"/>
        </w:rPr>
        <w:t>ROA</w:t>
      </w:r>
      <w:r w:rsidR="00E91007" w:rsidRPr="0013571A">
        <w:rPr>
          <w:rFonts w:cstheme="minorHAnsi"/>
        </w:rPr>
        <w:t xml:space="preserve"> and ROE</w:t>
      </w:r>
    </w:p>
    <w:p w14:paraId="3DCC350B" w14:textId="3CDA8B6C" w:rsidR="00507E5C" w:rsidRPr="0013571A" w:rsidRDefault="00507E5C" w:rsidP="00326429">
      <w:pPr>
        <w:pStyle w:val="NoSpacing"/>
        <w:jc w:val="both"/>
        <w:rPr>
          <w:rFonts w:cstheme="minorHAnsi"/>
        </w:rPr>
      </w:pPr>
      <w:r w:rsidRPr="0013571A">
        <w:rPr>
          <w:rFonts w:cstheme="minorHAnsi"/>
        </w:rPr>
        <w:t>ROA mirrors the profitability cycle</w:t>
      </w:r>
      <w:r w:rsidR="00E91007" w:rsidRPr="0013571A">
        <w:rPr>
          <w:rFonts w:cstheme="minorHAnsi"/>
        </w:rPr>
        <w:t>, d</w:t>
      </w:r>
      <w:r w:rsidRPr="0013571A">
        <w:rPr>
          <w:rFonts w:cstheme="minorHAnsi"/>
        </w:rPr>
        <w:t>eclines sharply in 2020 (0.01%)</w:t>
      </w:r>
      <w:r w:rsidR="00E91007" w:rsidRPr="0013571A">
        <w:rPr>
          <w:rFonts w:cstheme="minorHAnsi"/>
        </w:rPr>
        <w:t xml:space="preserve"> and r</w:t>
      </w:r>
      <w:r w:rsidRPr="0013571A">
        <w:rPr>
          <w:rFonts w:cstheme="minorHAnsi"/>
        </w:rPr>
        <w:t>ecovers gradually to 0.45% in 2025, indicating improved asset efficiency.</w:t>
      </w:r>
    </w:p>
    <w:p w14:paraId="1BCC0959" w14:textId="0F25B999" w:rsidR="00507E5C" w:rsidRPr="0013571A" w:rsidRDefault="00507E5C" w:rsidP="00326429">
      <w:pPr>
        <w:pStyle w:val="NoSpacing"/>
        <w:jc w:val="both"/>
        <w:rPr>
          <w:rFonts w:cstheme="minorHAnsi"/>
        </w:rPr>
      </w:pPr>
      <w:r w:rsidRPr="0013571A">
        <w:rPr>
          <w:rFonts w:cstheme="minorHAnsi"/>
        </w:rPr>
        <w:t>ROE follows a similar pattern</w:t>
      </w:r>
      <w:r w:rsidR="00E91007" w:rsidRPr="0013571A">
        <w:rPr>
          <w:rFonts w:cstheme="minorHAnsi"/>
        </w:rPr>
        <w:t>, d</w:t>
      </w:r>
      <w:r w:rsidRPr="0013571A">
        <w:rPr>
          <w:rFonts w:cstheme="minorHAnsi"/>
        </w:rPr>
        <w:t>rops to 0.29% in 2020</w:t>
      </w:r>
      <w:r w:rsidR="00E91007" w:rsidRPr="0013571A">
        <w:rPr>
          <w:rFonts w:cstheme="minorHAnsi"/>
        </w:rPr>
        <w:t xml:space="preserve"> and r</w:t>
      </w:r>
      <w:r w:rsidRPr="0013571A">
        <w:rPr>
          <w:rFonts w:cstheme="minorHAnsi"/>
        </w:rPr>
        <w:t>ecovers strongly to 8.84% in 2025, reflecting strengthened earnings relative to equity.</w:t>
      </w:r>
    </w:p>
    <w:p w14:paraId="6D32222E" w14:textId="77777777" w:rsidR="00CC3F7B" w:rsidRPr="0013571A" w:rsidRDefault="00CC3F7B" w:rsidP="00326429">
      <w:pPr>
        <w:pStyle w:val="NoSpacing"/>
        <w:jc w:val="both"/>
        <w:rPr>
          <w:rFonts w:cstheme="minorHAnsi"/>
        </w:rPr>
      </w:pPr>
    </w:p>
    <w:p w14:paraId="0144850B" w14:textId="33FD7F31" w:rsidR="00507E5C" w:rsidRPr="0013571A" w:rsidRDefault="0013571A" w:rsidP="00326429">
      <w:pPr>
        <w:pStyle w:val="NoSpacing"/>
        <w:jc w:val="both"/>
        <w:rPr>
          <w:rFonts w:cstheme="minorHAnsi"/>
        </w:rPr>
      </w:pPr>
      <w:r w:rsidRPr="0013571A">
        <w:rPr>
          <w:rFonts w:cstheme="minorHAnsi"/>
        </w:rPr>
        <w:t>4</w:t>
      </w:r>
      <w:r w:rsidR="00507E5C" w:rsidRPr="0013571A">
        <w:rPr>
          <w:rFonts w:cstheme="minorHAnsi"/>
        </w:rPr>
        <w:t xml:space="preserve">) Donut Chart </w:t>
      </w:r>
      <w:r w:rsidR="00CC66B7" w:rsidRPr="0013571A">
        <w:rPr>
          <w:rFonts w:cstheme="minorHAnsi"/>
        </w:rPr>
        <w:t>-</w:t>
      </w:r>
      <w:r w:rsidR="00507E5C" w:rsidRPr="0013571A">
        <w:rPr>
          <w:rFonts w:cstheme="minorHAnsi"/>
        </w:rPr>
        <w:t xml:space="preserve"> Revenue Composition </w:t>
      </w:r>
      <w:r w:rsidR="00E91007" w:rsidRPr="0013571A">
        <w:rPr>
          <w:rFonts w:cstheme="minorHAnsi"/>
        </w:rPr>
        <w:t>(</w:t>
      </w:r>
      <w:r w:rsidR="00507E5C" w:rsidRPr="0013571A">
        <w:rPr>
          <w:rFonts w:cstheme="minorHAnsi"/>
        </w:rPr>
        <w:t>2025</w:t>
      </w:r>
      <w:r w:rsidR="00E91007" w:rsidRPr="0013571A">
        <w:rPr>
          <w:rFonts w:cstheme="minorHAnsi"/>
        </w:rPr>
        <w:t>)</w:t>
      </w:r>
    </w:p>
    <w:p w14:paraId="3CB0A6E0" w14:textId="77777777" w:rsidR="00507E5C" w:rsidRPr="0013571A" w:rsidRDefault="00507E5C" w:rsidP="00326429">
      <w:pPr>
        <w:pStyle w:val="NoSpacing"/>
        <w:jc w:val="both"/>
        <w:rPr>
          <w:rFonts w:cstheme="minorHAnsi"/>
        </w:rPr>
      </w:pPr>
      <w:r w:rsidRPr="0013571A">
        <w:rPr>
          <w:rFonts w:cstheme="minorHAnsi"/>
        </w:rPr>
        <w:t>In 2025, the bank’s revenue structure remains well</w:t>
      </w:r>
      <w:r w:rsidRPr="0013571A">
        <w:rPr>
          <w:rFonts w:ascii="Cambria Math" w:hAnsi="Cambria Math" w:cs="Cambria Math"/>
        </w:rPr>
        <w:t>‑</w:t>
      </w:r>
      <w:r w:rsidRPr="0013571A">
        <w:rPr>
          <w:rFonts w:cstheme="minorHAnsi"/>
        </w:rPr>
        <w:t>balanced:</w:t>
      </w:r>
    </w:p>
    <w:p w14:paraId="4A78EB97" w14:textId="77777777" w:rsidR="00507E5C" w:rsidRPr="0013571A" w:rsidRDefault="00507E5C" w:rsidP="0013571A">
      <w:pPr>
        <w:pStyle w:val="NoSpacing"/>
        <w:numPr>
          <w:ilvl w:val="0"/>
          <w:numId w:val="3"/>
        </w:numPr>
        <w:ind w:left="567" w:hanging="283"/>
        <w:jc w:val="both"/>
        <w:rPr>
          <w:rFonts w:cstheme="minorHAnsi"/>
        </w:rPr>
      </w:pPr>
      <w:r w:rsidRPr="0013571A">
        <w:rPr>
          <w:rFonts w:cstheme="minorHAnsi"/>
        </w:rPr>
        <w:t>Net Interest Income: €10.07 billion</w:t>
      </w:r>
    </w:p>
    <w:p w14:paraId="4EB3120B" w14:textId="77777777" w:rsidR="00507E5C" w:rsidRPr="0013571A" w:rsidRDefault="00507E5C" w:rsidP="0013571A">
      <w:pPr>
        <w:pStyle w:val="NoSpacing"/>
        <w:numPr>
          <w:ilvl w:val="0"/>
          <w:numId w:val="3"/>
        </w:numPr>
        <w:ind w:left="567" w:hanging="283"/>
        <w:jc w:val="both"/>
        <w:rPr>
          <w:rFonts w:cstheme="minorHAnsi"/>
        </w:rPr>
      </w:pPr>
      <w:r w:rsidRPr="0013571A">
        <w:rPr>
          <w:rFonts w:cstheme="minorHAnsi"/>
        </w:rPr>
        <w:t>Non</w:t>
      </w:r>
      <w:r w:rsidRPr="0013571A">
        <w:rPr>
          <w:rFonts w:ascii="Cambria Math" w:hAnsi="Cambria Math" w:cs="Cambria Math"/>
        </w:rPr>
        <w:t>‑</w:t>
      </w:r>
      <w:r w:rsidRPr="0013571A">
        <w:rPr>
          <w:rFonts w:cstheme="minorHAnsi"/>
        </w:rPr>
        <w:t>Interest Income: €17.18 billion</w:t>
      </w:r>
    </w:p>
    <w:p w14:paraId="63193089" w14:textId="77777777" w:rsidR="00507E5C" w:rsidRPr="0013571A" w:rsidRDefault="00507E5C" w:rsidP="00326429">
      <w:pPr>
        <w:pStyle w:val="NoSpacing"/>
        <w:jc w:val="both"/>
        <w:rPr>
          <w:rFonts w:cstheme="minorHAnsi"/>
        </w:rPr>
      </w:pPr>
      <w:r w:rsidRPr="0013571A">
        <w:rPr>
          <w:rFonts w:cstheme="minorHAnsi"/>
        </w:rPr>
        <w:t>Non</w:t>
      </w:r>
      <w:r w:rsidRPr="0013571A">
        <w:rPr>
          <w:rFonts w:ascii="Cambria Math" w:hAnsi="Cambria Math" w:cs="Cambria Math"/>
        </w:rPr>
        <w:t>‑</w:t>
      </w:r>
      <w:r w:rsidRPr="0013571A">
        <w:rPr>
          <w:rFonts w:cstheme="minorHAnsi"/>
        </w:rPr>
        <w:t>interest income accounts for roughly two</w:t>
      </w:r>
      <w:r w:rsidRPr="0013571A">
        <w:rPr>
          <w:rFonts w:ascii="Cambria Math" w:hAnsi="Cambria Math" w:cs="Cambria Math"/>
        </w:rPr>
        <w:t>‑</w:t>
      </w:r>
      <w:r w:rsidRPr="0013571A">
        <w:rPr>
          <w:rFonts w:cstheme="minorHAnsi"/>
        </w:rPr>
        <w:t>thirds of total revenues, highlighting the bank’s diversified business model and reduced dependence on interest</w:t>
      </w:r>
      <w:r w:rsidRPr="0013571A">
        <w:rPr>
          <w:rFonts w:ascii="Cambria Math" w:hAnsi="Cambria Math" w:cs="Cambria Math"/>
        </w:rPr>
        <w:t>‑</w:t>
      </w:r>
      <w:r w:rsidRPr="0013571A">
        <w:rPr>
          <w:rFonts w:cstheme="minorHAnsi"/>
        </w:rPr>
        <w:t>rate cycles. This composition is typical for large universal banks with strong fee</w:t>
      </w:r>
      <w:r w:rsidRPr="0013571A">
        <w:rPr>
          <w:rFonts w:ascii="Cambria Math" w:hAnsi="Cambria Math" w:cs="Cambria Math"/>
        </w:rPr>
        <w:t>‑</w:t>
      </w:r>
      <w:r w:rsidRPr="0013571A">
        <w:rPr>
          <w:rFonts w:cstheme="minorHAnsi"/>
        </w:rPr>
        <w:t>based and market</w:t>
      </w:r>
      <w:r w:rsidRPr="0013571A">
        <w:rPr>
          <w:rFonts w:ascii="Cambria Math" w:hAnsi="Cambria Math" w:cs="Cambria Math"/>
        </w:rPr>
        <w:t>‑</w:t>
      </w:r>
      <w:r w:rsidRPr="0013571A">
        <w:rPr>
          <w:rFonts w:cstheme="minorHAnsi"/>
        </w:rPr>
        <w:t>related activities.</w:t>
      </w:r>
    </w:p>
    <w:p w14:paraId="72AA72A8" w14:textId="77777777" w:rsidR="00326429" w:rsidRPr="0013571A" w:rsidRDefault="00326429" w:rsidP="00326429">
      <w:pPr>
        <w:pStyle w:val="NoSpacing"/>
        <w:jc w:val="both"/>
        <w:rPr>
          <w:rFonts w:cstheme="minorHAnsi"/>
        </w:rPr>
      </w:pPr>
    </w:p>
    <w:p w14:paraId="56688CB0" w14:textId="77777777" w:rsidR="00326429" w:rsidRPr="0013571A" w:rsidRDefault="00326429" w:rsidP="00326429">
      <w:pPr>
        <w:pStyle w:val="NoSpacing"/>
        <w:jc w:val="both"/>
        <w:rPr>
          <w:rFonts w:cstheme="minorHAnsi"/>
        </w:rPr>
      </w:pPr>
    </w:p>
    <w:p w14:paraId="5867D3DB" w14:textId="77777777" w:rsidR="00507E5C" w:rsidRPr="0013571A" w:rsidRDefault="00507E5C" w:rsidP="00326429">
      <w:pPr>
        <w:pStyle w:val="NoSpacing"/>
        <w:jc w:val="both"/>
        <w:rPr>
          <w:rFonts w:cstheme="minorHAnsi"/>
        </w:rPr>
      </w:pPr>
    </w:p>
    <w:p w14:paraId="05DCB422" w14:textId="77777777" w:rsidR="00CC66B7" w:rsidRPr="0013571A" w:rsidRDefault="00CC66B7" w:rsidP="00326429">
      <w:pPr>
        <w:jc w:val="both"/>
        <w:rPr>
          <w:rFonts w:cstheme="minorHAnsi"/>
        </w:rPr>
      </w:pPr>
      <w:r w:rsidRPr="0013571A">
        <w:rPr>
          <w:rFonts w:cstheme="minorHAnsi"/>
        </w:rPr>
        <w:br w:type="page"/>
      </w:r>
    </w:p>
    <w:p w14:paraId="22375B77" w14:textId="0AB8D04F" w:rsidR="00507E5C" w:rsidRPr="0013571A" w:rsidRDefault="00507E5C" w:rsidP="00326429">
      <w:pPr>
        <w:pStyle w:val="NoSpacing"/>
        <w:jc w:val="both"/>
        <w:rPr>
          <w:rFonts w:cstheme="minorHAnsi"/>
          <w:b/>
          <w:bCs/>
        </w:rPr>
      </w:pPr>
      <w:r w:rsidRPr="0013571A">
        <w:rPr>
          <w:rFonts w:cstheme="minorHAnsi"/>
          <w:b/>
          <w:bCs/>
        </w:rPr>
        <w:lastRenderedPageBreak/>
        <w:t xml:space="preserve">Profitability &amp; Income </w:t>
      </w:r>
      <w:r w:rsidR="00CC66B7" w:rsidRPr="0013571A">
        <w:rPr>
          <w:rFonts w:cstheme="minorHAnsi"/>
          <w:b/>
          <w:bCs/>
        </w:rPr>
        <w:t>-</w:t>
      </w:r>
      <w:r w:rsidRPr="0013571A">
        <w:rPr>
          <w:rFonts w:cstheme="minorHAnsi"/>
          <w:b/>
          <w:bCs/>
        </w:rPr>
        <w:t xml:space="preserve"> Page 2</w:t>
      </w:r>
      <w:r w:rsidR="00CC66B7" w:rsidRPr="0013571A">
        <w:rPr>
          <w:rFonts w:cstheme="minorHAnsi"/>
          <w:b/>
          <w:bCs/>
        </w:rPr>
        <w:t xml:space="preserve"> </w:t>
      </w:r>
      <w:r w:rsidR="00F81D8F" w:rsidRPr="0013571A">
        <w:rPr>
          <w:rFonts w:cstheme="minorHAnsi"/>
          <w:b/>
          <w:bCs/>
        </w:rPr>
        <w:t>from the Dashboard</w:t>
      </w:r>
    </w:p>
    <w:p w14:paraId="255761DF" w14:textId="77777777" w:rsidR="00E91007" w:rsidRPr="0013571A" w:rsidRDefault="00E91007" w:rsidP="00326429">
      <w:pPr>
        <w:pStyle w:val="NoSpacing"/>
        <w:jc w:val="both"/>
        <w:rPr>
          <w:rFonts w:cstheme="minorHAnsi"/>
        </w:rPr>
      </w:pPr>
    </w:p>
    <w:p w14:paraId="69B35F16" w14:textId="6989B7AD" w:rsidR="00E91007" w:rsidRPr="0013571A" w:rsidRDefault="00E91007" w:rsidP="00E91007">
      <w:pPr>
        <w:pStyle w:val="NoSpacing"/>
        <w:jc w:val="both"/>
        <w:rPr>
          <w:rFonts w:cstheme="minorHAnsi"/>
        </w:rPr>
      </w:pPr>
      <w:r w:rsidRPr="0013571A">
        <w:rPr>
          <w:rFonts w:cstheme="minorHAnsi"/>
        </w:rPr>
        <w:t>1) Overall narrative for the second page of the dashboard:</w:t>
      </w:r>
    </w:p>
    <w:p w14:paraId="2153AE87" w14:textId="3EE126BD" w:rsidR="00E91007" w:rsidRPr="0013571A" w:rsidRDefault="00E91007" w:rsidP="00E91007">
      <w:pPr>
        <w:pStyle w:val="NoSpacing"/>
        <w:jc w:val="both"/>
        <w:rPr>
          <w:rFonts w:cstheme="minorHAnsi"/>
        </w:rPr>
      </w:pPr>
      <w:r w:rsidRPr="0013571A">
        <w:rPr>
          <w:rFonts w:cstheme="minorHAnsi"/>
        </w:rPr>
        <w:t>The bank’s profitability profile over 2016</w:t>
      </w:r>
      <w:r w:rsidR="0013571A" w:rsidRPr="0013571A">
        <w:rPr>
          <w:rFonts w:cstheme="minorHAnsi"/>
        </w:rPr>
        <w:t>-</w:t>
      </w:r>
      <w:r w:rsidRPr="0013571A">
        <w:rPr>
          <w:rFonts w:cstheme="minorHAnsi"/>
        </w:rPr>
        <w:t>2025 reflects a resilient and diversified income structure, with a clear shift toward non</w:t>
      </w:r>
      <w:r w:rsidRPr="0013571A">
        <w:rPr>
          <w:rFonts w:ascii="Cambria Math" w:hAnsi="Cambria Math" w:cs="Cambria Math"/>
        </w:rPr>
        <w:t>‑</w:t>
      </w:r>
      <w:r w:rsidRPr="0013571A">
        <w:rPr>
          <w:rFonts w:cstheme="minorHAnsi"/>
        </w:rPr>
        <w:t>interest income as the primary revenue driver. In 2025, Non</w:t>
      </w:r>
      <w:r w:rsidRPr="0013571A">
        <w:rPr>
          <w:rFonts w:ascii="Cambria Math" w:hAnsi="Cambria Math" w:cs="Cambria Math"/>
        </w:rPr>
        <w:t>‑</w:t>
      </w:r>
      <w:r w:rsidRPr="0013571A">
        <w:rPr>
          <w:rFonts w:cstheme="minorHAnsi"/>
        </w:rPr>
        <w:t>Interest Income reaches 17.18bn, significantly exceeding Net Interest Income of 10.07bn, resulting in a Net Interest Margin Share of 39%. This confirms that the bank</w:t>
      </w:r>
      <w:r w:rsidRPr="0013571A">
        <w:rPr>
          <w:rFonts w:ascii="Calibri" w:hAnsi="Calibri" w:cs="Calibri"/>
        </w:rPr>
        <w:t>’</w:t>
      </w:r>
      <w:r w:rsidRPr="0013571A">
        <w:rPr>
          <w:rFonts w:cstheme="minorHAnsi"/>
        </w:rPr>
        <w:t>s earnings base is no longer dominated by traditional lending margins but is instead supported by fee</w:t>
      </w:r>
      <w:r w:rsidRPr="0013571A">
        <w:rPr>
          <w:rFonts w:ascii="Cambria Math" w:hAnsi="Cambria Math" w:cs="Cambria Math"/>
        </w:rPr>
        <w:t>‑</w:t>
      </w:r>
      <w:r w:rsidRPr="0013571A">
        <w:rPr>
          <w:rFonts w:cstheme="minorHAnsi"/>
        </w:rPr>
        <w:t>based and market</w:t>
      </w:r>
      <w:r w:rsidRPr="0013571A">
        <w:rPr>
          <w:rFonts w:ascii="Cambria Math" w:hAnsi="Cambria Math" w:cs="Cambria Math"/>
        </w:rPr>
        <w:t>‑</w:t>
      </w:r>
      <w:r w:rsidRPr="0013571A">
        <w:rPr>
          <w:rFonts w:cstheme="minorHAnsi"/>
        </w:rPr>
        <w:t>related activities, which provide greater stability during periods of interest rate volatility.</w:t>
      </w:r>
    </w:p>
    <w:p w14:paraId="225B3B39" w14:textId="77777777" w:rsidR="00E91007" w:rsidRPr="0013571A" w:rsidRDefault="00E91007" w:rsidP="00E91007">
      <w:pPr>
        <w:pStyle w:val="NoSpacing"/>
        <w:jc w:val="both"/>
        <w:rPr>
          <w:rFonts w:cstheme="minorHAnsi"/>
        </w:rPr>
      </w:pPr>
      <w:r w:rsidRPr="0013571A">
        <w:rPr>
          <w:rFonts w:cstheme="minorHAnsi"/>
        </w:rPr>
        <w:t>The long</w:t>
      </w:r>
      <w:r w:rsidRPr="0013571A">
        <w:rPr>
          <w:rFonts w:ascii="Cambria Math" w:hAnsi="Cambria Math" w:cs="Cambria Math"/>
        </w:rPr>
        <w:t>‑</w:t>
      </w:r>
      <w:r w:rsidRPr="0013571A">
        <w:rPr>
          <w:rFonts w:cstheme="minorHAnsi"/>
        </w:rPr>
        <w:t>term trend in revenues and expenses highlights a strong post</w:t>
      </w:r>
      <w:r w:rsidRPr="0013571A">
        <w:rPr>
          <w:rFonts w:ascii="Cambria Math" w:hAnsi="Cambria Math" w:cs="Cambria Math"/>
        </w:rPr>
        <w:t>‑</w:t>
      </w:r>
      <w:r w:rsidRPr="0013571A">
        <w:rPr>
          <w:rFonts w:cstheme="minorHAnsi"/>
        </w:rPr>
        <w:t>pandemic recovery. Total revenues, which fell to 18.83bn in 2020, rebound sharply to 25.78bn in 2025, driven primarily by the recovery in non</w:t>
      </w:r>
      <w:r w:rsidRPr="0013571A">
        <w:rPr>
          <w:rFonts w:ascii="Cambria Math" w:hAnsi="Cambria Math" w:cs="Cambria Math"/>
        </w:rPr>
        <w:t>‑</w:t>
      </w:r>
      <w:r w:rsidRPr="0013571A">
        <w:rPr>
          <w:rFonts w:cstheme="minorHAnsi"/>
        </w:rPr>
        <w:t>interest income. At the same time, operating expenses decline from their 2023 peak, reaching 17.32bn in 2025, which widens the operating margin and strengthens profitability. The growing gap between revenues and expenses in the final years of the period signals improving cost efficiency and operational discipline.</w:t>
      </w:r>
    </w:p>
    <w:p w14:paraId="20FBCCCE" w14:textId="77777777" w:rsidR="00E91007" w:rsidRPr="0013571A" w:rsidRDefault="00E91007" w:rsidP="00E91007">
      <w:pPr>
        <w:pStyle w:val="NoSpacing"/>
        <w:jc w:val="both"/>
        <w:rPr>
          <w:rFonts w:cstheme="minorHAnsi"/>
        </w:rPr>
      </w:pPr>
      <w:r w:rsidRPr="0013571A">
        <w:rPr>
          <w:rFonts w:cstheme="minorHAnsi"/>
        </w:rPr>
        <w:t>The 2025 financial performance waterfall further illustrates this dynamic: starting from Total Revenues of 25.78bn, the bank generates EBT of 8.46bn and achieves Net Income of 6.0bn, one of the strongest results in the decade. This performance reflects both the recovery in income streams and the bank’s ability to contain costs while maintaining stable credit quality.</w:t>
      </w:r>
    </w:p>
    <w:p w14:paraId="76ECBF2B" w14:textId="77777777" w:rsidR="00E91007" w:rsidRPr="0013571A" w:rsidRDefault="00E91007" w:rsidP="00E91007">
      <w:pPr>
        <w:pStyle w:val="NoSpacing"/>
        <w:jc w:val="both"/>
        <w:rPr>
          <w:rFonts w:cstheme="minorHAnsi"/>
        </w:rPr>
      </w:pPr>
      <w:r w:rsidRPr="0013571A">
        <w:rPr>
          <w:rFonts w:cstheme="minorHAnsi"/>
        </w:rPr>
        <w:t>Overall, Page 2 shows a bank that has successfully rebuilt profitability, supported by a diversified revenue structure, improving cost efficiency, and strong earnings momentum heading into 2025.</w:t>
      </w:r>
    </w:p>
    <w:p w14:paraId="07BD24E4" w14:textId="77777777" w:rsidR="00977467" w:rsidRPr="0013571A" w:rsidRDefault="00977467" w:rsidP="00326429">
      <w:pPr>
        <w:pStyle w:val="NoSpacing"/>
        <w:jc w:val="both"/>
        <w:rPr>
          <w:rFonts w:cstheme="minorHAnsi"/>
        </w:rPr>
      </w:pPr>
    </w:p>
    <w:p w14:paraId="3C5CDCB4" w14:textId="4F4F46E8" w:rsidR="00977467" w:rsidRPr="0013571A" w:rsidRDefault="00E91007" w:rsidP="00326429">
      <w:pPr>
        <w:pStyle w:val="NoSpacing"/>
        <w:jc w:val="both"/>
        <w:rPr>
          <w:rFonts w:cstheme="minorHAnsi"/>
        </w:rPr>
      </w:pPr>
      <w:r w:rsidRPr="0013571A">
        <w:rPr>
          <w:rFonts w:cstheme="minorHAnsi"/>
        </w:rPr>
        <w:t>2</w:t>
      </w:r>
      <w:r w:rsidR="00977467" w:rsidRPr="0013571A">
        <w:rPr>
          <w:rFonts w:cstheme="minorHAnsi"/>
        </w:rPr>
        <w:t>) Card chart as “Net Interest Margin Share % (2025)”</w:t>
      </w:r>
    </w:p>
    <w:p w14:paraId="4E8017E9" w14:textId="77777777" w:rsidR="00977467" w:rsidRPr="0013571A" w:rsidRDefault="00977467" w:rsidP="00326429">
      <w:pPr>
        <w:pStyle w:val="NoSpacing"/>
        <w:jc w:val="both"/>
        <w:rPr>
          <w:rFonts w:cstheme="minorHAnsi"/>
        </w:rPr>
      </w:pPr>
      <w:r w:rsidRPr="0013571A">
        <w:rPr>
          <w:rFonts w:cstheme="minorHAnsi"/>
        </w:rPr>
        <w:t>The Net Interest Margin Share in 2025 is 39.06%, showing that interest</w:t>
      </w:r>
      <w:r w:rsidRPr="0013571A">
        <w:rPr>
          <w:rFonts w:ascii="Cambria Math" w:hAnsi="Cambria Math" w:cs="Cambria Math"/>
        </w:rPr>
        <w:t>‑</w:t>
      </w:r>
      <w:r w:rsidRPr="0013571A">
        <w:rPr>
          <w:rFonts w:cstheme="minorHAnsi"/>
        </w:rPr>
        <w:t>related revenues represent a minority share of total revenues, while non</w:t>
      </w:r>
      <w:r w:rsidRPr="0013571A">
        <w:rPr>
          <w:rFonts w:ascii="Cambria Math" w:hAnsi="Cambria Math" w:cs="Cambria Math"/>
        </w:rPr>
        <w:t>‑</w:t>
      </w:r>
      <w:r w:rsidRPr="0013571A">
        <w:rPr>
          <w:rFonts w:cstheme="minorHAnsi"/>
        </w:rPr>
        <w:t>interest income dominates.</w:t>
      </w:r>
    </w:p>
    <w:p w14:paraId="23222149" w14:textId="77777777" w:rsidR="00977467" w:rsidRPr="0013571A" w:rsidRDefault="00977467" w:rsidP="00326429">
      <w:pPr>
        <w:pStyle w:val="NoSpacing"/>
        <w:jc w:val="both"/>
        <w:rPr>
          <w:rFonts w:cstheme="minorHAnsi"/>
        </w:rPr>
      </w:pPr>
      <w:r w:rsidRPr="0013571A">
        <w:rPr>
          <w:rFonts w:cstheme="minorHAnsi"/>
        </w:rPr>
        <w:t>This confirms a structural shift toward fee</w:t>
      </w:r>
      <w:r w:rsidRPr="0013571A">
        <w:rPr>
          <w:rFonts w:ascii="Cambria Math" w:hAnsi="Cambria Math" w:cs="Cambria Math"/>
        </w:rPr>
        <w:t>‑</w:t>
      </w:r>
      <w:r w:rsidRPr="0013571A">
        <w:rPr>
          <w:rFonts w:cstheme="minorHAnsi"/>
        </w:rPr>
        <w:t>based and market</w:t>
      </w:r>
      <w:r w:rsidRPr="0013571A">
        <w:rPr>
          <w:rFonts w:ascii="Cambria Math" w:hAnsi="Cambria Math" w:cs="Cambria Math"/>
        </w:rPr>
        <w:t>‑</w:t>
      </w:r>
      <w:r w:rsidRPr="0013571A">
        <w:rPr>
          <w:rFonts w:cstheme="minorHAnsi"/>
        </w:rPr>
        <w:t>related income, consistent with the revenue composition in the dataset (Non</w:t>
      </w:r>
      <w:r w:rsidRPr="0013571A">
        <w:rPr>
          <w:rFonts w:ascii="Cambria Math" w:hAnsi="Cambria Math" w:cs="Cambria Math"/>
        </w:rPr>
        <w:t>‑</w:t>
      </w:r>
      <w:r w:rsidRPr="0013571A">
        <w:rPr>
          <w:rFonts w:cstheme="minorHAnsi"/>
        </w:rPr>
        <w:t>Interest Income = 17.18bn vs. Net Interest Income = 10.07bn in 2025) .</w:t>
      </w:r>
    </w:p>
    <w:p w14:paraId="21ECEA22" w14:textId="77777777" w:rsidR="00977467" w:rsidRPr="0013571A" w:rsidRDefault="00977467" w:rsidP="00326429">
      <w:pPr>
        <w:pStyle w:val="NoSpacing"/>
        <w:jc w:val="both"/>
        <w:rPr>
          <w:rFonts w:cstheme="minorHAnsi"/>
        </w:rPr>
      </w:pPr>
      <w:r w:rsidRPr="0013571A">
        <w:rPr>
          <w:rFonts w:cstheme="minorHAnsi"/>
        </w:rPr>
        <w:t>The bank’s profitability relies more on diversified non</w:t>
      </w:r>
      <w:r w:rsidRPr="0013571A">
        <w:rPr>
          <w:rFonts w:ascii="Cambria Math" w:hAnsi="Cambria Math" w:cs="Cambria Math"/>
        </w:rPr>
        <w:t>‑</w:t>
      </w:r>
      <w:r w:rsidRPr="0013571A">
        <w:rPr>
          <w:rFonts w:cstheme="minorHAnsi"/>
        </w:rPr>
        <w:t xml:space="preserve">interest income streams than on traditional lending margins. </w:t>
      </w:r>
    </w:p>
    <w:p w14:paraId="38233D53" w14:textId="77777777" w:rsidR="00977467" w:rsidRPr="0013571A" w:rsidRDefault="00977467" w:rsidP="00326429">
      <w:pPr>
        <w:pStyle w:val="NoSpacing"/>
        <w:jc w:val="both"/>
        <w:rPr>
          <w:rFonts w:cstheme="minorHAnsi"/>
        </w:rPr>
      </w:pPr>
    </w:p>
    <w:p w14:paraId="499EBA8F" w14:textId="12CC324A" w:rsidR="00977467" w:rsidRPr="0013571A" w:rsidRDefault="00E91007" w:rsidP="00326429">
      <w:pPr>
        <w:pStyle w:val="NoSpacing"/>
        <w:jc w:val="both"/>
        <w:rPr>
          <w:rFonts w:cstheme="minorHAnsi"/>
        </w:rPr>
      </w:pPr>
      <w:r w:rsidRPr="0013571A">
        <w:rPr>
          <w:rFonts w:cstheme="minorHAnsi"/>
        </w:rPr>
        <w:t>3</w:t>
      </w:r>
      <w:r w:rsidR="00977467" w:rsidRPr="0013571A">
        <w:rPr>
          <w:rFonts w:cstheme="minorHAnsi"/>
        </w:rPr>
        <w:t>) Stacked column chart as “Revenue Structure”</w:t>
      </w:r>
    </w:p>
    <w:p w14:paraId="451536B0" w14:textId="3831ED68" w:rsidR="00977467" w:rsidRPr="0013571A" w:rsidRDefault="00977467" w:rsidP="00326429">
      <w:pPr>
        <w:pStyle w:val="NoSpacing"/>
        <w:jc w:val="both"/>
        <w:rPr>
          <w:rFonts w:cstheme="minorHAnsi"/>
        </w:rPr>
      </w:pPr>
      <w:r w:rsidRPr="0013571A">
        <w:rPr>
          <w:rFonts w:cstheme="minorHAnsi"/>
        </w:rPr>
        <w:t>The chart shows a gradual decline in Net Interest Income from the 2018 peak (11.18bn) to 2025 (10.07bn), while Non</w:t>
      </w:r>
      <w:r w:rsidRPr="0013571A">
        <w:rPr>
          <w:rFonts w:ascii="Cambria Math" w:hAnsi="Cambria Math" w:cs="Cambria Math"/>
        </w:rPr>
        <w:t>‑</w:t>
      </w:r>
      <w:r w:rsidRPr="0013571A">
        <w:rPr>
          <w:rFonts w:cstheme="minorHAnsi"/>
        </w:rPr>
        <w:t>Interest Income fluctuates but remains structurally higher, reaching 17.18bn in 2025.</w:t>
      </w:r>
    </w:p>
    <w:p w14:paraId="07E7511A" w14:textId="1EAD50C7" w:rsidR="00977467" w:rsidRPr="0013571A" w:rsidRDefault="00977467" w:rsidP="00326429">
      <w:pPr>
        <w:pStyle w:val="NoSpacing"/>
        <w:jc w:val="both"/>
        <w:rPr>
          <w:rFonts w:cstheme="minorHAnsi"/>
        </w:rPr>
      </w:pPr>
      <w:r w:rsidRPr="0013571A">
        <w:rPr>
          <w:rFonts w:cstheme="minorHAnsi"/>
        </w:rPr>
        <w:t>The bank has a balanced but non</w:t>
      </w:r>
      <w:r w:rsidRPr="0013571A">
        <w:rPr>
          <w:rFonts w:ascii="Cambria Math" w:hAnsi="Cambria Math" w:cs="Cambria Math"/>
        </w:rPr>
        <w:t>‑</w:t>
      </w:r>
      <w:r w:rsidRPr="0013571A">
        <w:rPr>
          <w:rFonts w:cstheme="minorHAnsi"/>
        </w:rPr>
        <w:t>interest</w:t>
      </w:r>
      <w:r w:rsidRPr="0013571A">
        <w:rPr>
          <w:rFonts w:ascii="Cambria Math" w:hAnsi="Cambria Math" w:cs="Cambria Math"/>
        </w:rPr>
        <w:t>‑</w:t>
      </w:r>
      <w:r w:rsidRPr="0013571A">
        <w:rPr>
          <w:rFonts w:cstheme="minorHAnsi"/>
        </w:rPr>
        <w:t>income</w:t>
      </w:r>
      <w:r w:rsidRPr="0013571A">
        <w:rPr>
          <w:rFonts w:ascii="Cambria Math" w:hAnsi="Cambria Math" w:cs="Cambria Math"/>
        </w:rPr>
        <w:t>‑</w:t>
      </w:r>
      <w:r w:rsidRPr="0013571A">
        <w:rPr>
          <w:rFonts w:cstheme="minorHAnsi"/>
        </w:rPr>
        <w:t>heavy revenue model.</w:t>
      </w:r>
      <w:r w:rsidR="00F81D8F" w:rsidRPr="0013571A">
        <w:rPr>
          <w:rFonts w:cstheme="minorHAnsi"/>
        </w:rPr>
        <w:t xml:space="preserve"> </w:t>
      </w:r>
      <w:r w:rsidRPr="0013571A">
        <w:rPr>
          <w:rFonts w:cstheme="minorHAnsi"/>
        </w:rPr>
        <w:t>The dip in total revenues in 2020 (18.83bn) reflects the pandemic shock, followed by a strong recovery in 2021 (25.72bn).</w:t>
      </w:r>
      <w:r w:rsidR="00F81D8F" w:rsidRPr="0013571A">
        <w:rPr>
          <w:rFonts w:cstheme="minorHAnsi"/>
        </w:rPr>
        <w:t xml:space="preserve"> </w:t>
      </w:r>
      <w:r w:rsidRPr="0013571A">
        <w:rPr>
          <w:rFonts w:cstheme="minorHAnsi"/>
        </w:rPr>
        <w:t>By 2025, revenues stabilize at 25.78bn, supported mainly by non</w:t>
      </w:r>
      <w:r w:rsidRPr="0013571A">
        <w:rPr>
          <w:rFonts w:ascii="Cambria Math" w:hAnsi="Cambria Math" w:cs="Cambria Math"/>
        </w:rPr>
        <w:t>‑</w:t>
      </w:r>
      <w:r w:rsidRPr="0013571A">
        <w:rPr>
          <w:rFonts w:cstheme="minorHAnsi"/>
        </w:rPr>
        <w:t>interest income.</w:t>
      </w:r>
    </w:p>
    <w:p w14:paraId="02FF2256" w14:textId="10D4F870" w:rsidR="00977467" w:rsidRPr="0013571A" w:rsidRDefault="00977467" w:rsidP="00326429">
      <w:pPr>
        <w:pStyle w:val="NoSpacing"/>
        <w:jc w:val="both"/>
        <w:rPr>
          <w:rFonts w:cstheme="minorHAnsi"/>
        </w:rPr>
      </w:pPr>
      <w:r w:rsidRPr="0013571A">
        <w:rPr>
          <w:rFonts w:cstheme="minorHAnsi"/>
        </w:rPr>
        <w:t>The bank’s revenue base is resilient and diversified, with non</w:t>
      </w:r>
      <w:r w:rsidRPr="0013571A">
        <w:rPr>
          <w:rFonts w:ascii="Cambria Math" w:hAnsi="Cambria Math" w:cs="Cambria Math"/>
        </w:rPr>
        <w:t>‑</w:t>
      </w:r>
      <w:r w:rsidRPr="0013571A">
        <w:rPr>
          <w:rFonts w:cstheme="minorHAnsi"/>
        </w:rPr>
        <w:t xml:space="preserve">interest income acting as the main stabilizer during volatile periods. </w:t>
      </w:r>
    </w:p>
    <w:p w14:paraId="75D5F698" w14:textId="77777777" w:rsidR="00977467" w:rsidRPr="0013571A" w:rsidRDefault="00977467" w:rsidP="00326429">
      <w:pPr>
        <w:pStyle w:val="NoSpacing"/>
        <w:jc w:val="both"/>
        <w:rPr>
          <w:rFonts w:cstheme="minorHAnsi"/>
        </w:rPr>
      </w:pPr>
    </w:p>
    <w:p w14:paraId="65BAAC25" w14:textId="4E904138" w:rsidR="00F81D8F" w:rsidRPr="0013571A" w:rsidRDefault="00E91007" w:rsidP="00326429">
      <w:pPr>
        <w:pStyle w:val="NoSpacing"/>
        <w:jc w:val="both"/>
        <w:rPr>
          <w:rFonts w:cstheme="minorHAnsi"/>
        </w:rPr>
      </w:pPr>
      <w:r w:rsidRPr="0013571A">
        <w:rPr>
          <w:rFonts w:cstheme="minorHAnsi"/>
        </w:rPr>
        <w:t>4</w:t>
      </w:r>
      <w:r w:rsidR="00977467" w:rsidRPr="0013571A">
        <w:rPr>
          <w:rFonts w:cstheme="minorHAnsi"/>
        </w:rPr>
        <w:t>)</w:t>
      </w:r>
      <w:r w:rsidR="00F81D8F" w:rsidRPr="0013571A">
        <w:rPr>
          <w:rFonts w:cstheme="minorHAnsi"/>
        </w:rPr>
        <w:t xml:space="preserve"> Line chart as “Revenues vs Operating Expenses Trend (2016 - 2025)” </w:t>
      </w:r>
    </w:p>
    <w:p w14:paraId="69835FD6" w14:textId="77777777" w:rsidR="00F81D8F" w:rsidRPr="0013571A" w:rsidRDefault="00F81D8F" w:rsidP="00326429">
      <w:pPr>
        <w:pStyle w:val="NoSpacing"/>
        <w:jc w:val="both"/>
        <w:rPr>
          <w:rFonts w:cstheme="minorHAnsi"/>
        </w:rPr>
      </w:pPr>
      <w:r w:rsidRPr="0013571A">
        <w:rPr>
          <w:rFonts w:cstheme="minorHAnsi"/>
        </w:rPr>
        <w:t>Total Revenues and Non Interest Expenses move closely together, but expenses consistently remain below revenues, except for the stress year 2020.</w:t>
      </w:r>
    </w:p>
    <w:p w14:paraId="70008428" w14:textId="77777777" w:rsidR="00F81D8F" w:rsidRPr="0013571A" w:rsidRDefault="00F81D8F" w:rsidP="00326429">
      <w:pPr>
        <w:pStyle w:val="NoSpacing"/>
        <w:jc w:val="both"/>
        <w:rPr>
          <w:rFonts w:cstheme="minorHAnsi"/>
        </w:rPr>
      </w:pPr>
      <w:r w:rsidRPr="0013571A">
        <w:rPr>
          <w:rFonts w:cstheme="minorHAnsi"/>
        </w:rPr>
        <w:t>Trends from the data:</w:t>
      </w:r>
    </w:p>
    <w:p w14:paraId="11318187" w14:textId="3E033074" w:rsidR="00F81D8F" w:rsidRPr="0013571A" w:rsidRDefault="00F81D8F" w:rsidP="0013571A">
      <w:pPr>
        <w:pStyle w:val="NoSpacing"/>
        <w:numPr>
          <w:ilvl w:val="0"/>
          <w:numId w:val="4"/>
        </w:numPr>
        <w:ind w:left="567" w:hanging="283"/>
        <w:jc w:val="both"/>
        <w:rPr>
          <w:rFonts w:cstheme="minorHAnsi"/>
        </w:rPr>
      </w:pPr>
      <w:r w:rsidRPr="0013571A">
        <w:rPr>
          <w:rFonts w:cstheme="minorHAnsi"/>
        </w:rPr>
        <w:lastRenderedPageBreak/>
        <w:t>Revenues fall sharply in 2020 (18.83bn), while Operating Expenses remain high (16.37bn), compressing profitability.</w:t>
      </w:r>
    </w:p>
    <w:p w14:paraId="3342C6A6" w14:textId="2A1725E4" w:rsidR="00F81D8F" w:rsidRPr="0013571A" w:rsidRDefault="00F81D8F" w:rsidP="0013571A">
      <w:pPr>
        <w:pStyle w:val="NoSpacing"/>
        <w:numPr>
          <w:ilvl w:val="0"/>
          <w:numId w:val="4"/>
        </w:numPr>
        <w:ind w:left="567" w:hanging="283"/>
        <w:jc w:val="both"/>
        <w:rPr>
          <w:rFonts w:cstheme="minorHAnsi"/>
        </w:rPr>
      </w:pPr>
      <w:r w:rsidRPr="0013571A">
        <w:rPr>
          <w:rFonts w:cstheme="minorHAnsi"/>
        </w:rPr>
        <w:t>After the year 2021, revenues recover strongly, reaching 25.78bn in 2025, while expenses decline to 17.32bn .</w:t>
      </w:r>
    </w:p>
    <w:p w14:paraId="29B9C005" w14:textId="08D64224" w:rsidR="00F81D8F" w:rsidRPr="0013571A" w:rsidRDefault="00F81D8F" w:rsidP="00326429">
      <w:pPr>
        <w:pStyle w:val="NoSpacing"/>
        <w:jc w:val="both"/>
        <w:rPr>
          <w:rFonts w:cstheme="minorHAnsi"/>
        </w:rPr>
      </w:pPr>
      <w:r w:rsidRPr="0013571A">
        <w:rPr>
          <w:rFonts w:cstheme="minorHAnsi"/>
        </w:rPr>
        <w:t>The bank demonstrates improving cost efficiency after 2021. The widening gap between revenues and expenses in 2024</w:t>
      </w:r>
      <w:r w:rsidR="0013571A" w:rsidRPr="0013571A">
        <w:rPr>
          <w:rFonts w:cstheme="minorHAnsi"/>
        </w:rPr>
        <w:t>-</w:t>
      </w:r>
      <w:r w:rsidRPr="0013571A">
        <w:rPr>
          <w:rFonts w:cstheme="minorHAnsi"/>
        </w:rPr>
        <w:t>2025 signals strengthening operational performance.</w:t>
      </w:r>
    </w:p>
    <w:p w14:paraId="56084A4B" w14:textId="2BBE0251" w:rsidR="00F81D8F" w:rsidRPr="0013571A" w:rsidRDefault="00F81D8F" w:rsidP="00326429">
      <w:pPr>
        <w:pStyle w:val="NoSpacing"/>
        <w:jc w:val="both"/>
        <w:rPr>
          <w:rFonts w:cstheme="minorHAnsi"/>
        </w:rPr>
      </w:pPr>
      <w:r w:rsidRPr="0013571A">
        <w:rPr>
          <w:rFonts w:cstheme="minorHAnsi"/>
        </w:rPr>
        <w:t>The bank exits the pandemic period with better cost discipline and a restored revenue base, supporting profitability.</w:t>
      </w:r>
    </w:p>
    <w:p w14:paraId="3184077C" w14:textId="77777777" w:rsidR="00F81D8F" w:rsidRPr="0013571A" w:rsidRDefault="00F81D8F" w:rsidP="00326429">
      <w:pPr>
        <w:pStyle w:val="NoSpacing"/>
        <w:jc w:val="both"/>
        <w:rPr>
          <w:rFonts w:cstheme="minorHAnsi"/>
        </w:rPr>
      </w:pPr>
    </w:p>
    <w:p w14:paraId="33C4FF80" w14:textId="483F403C" w:rsidR="00F81D8F" w:rsidRPr="0013571A" w:rsidRDefault="00E91007" w:rsidP="00326429">
      <w:pPr>
        <w:pStyle w:val="NoSpacing"/>
        <w:jc w:val="both"/>
        <w:rPr>
          <w:rFonts w:cstheme="minorHAnsi"/>
        </w:rPr>
      </w:pPr>
      <w:r w:rsidRPr="0013571A">
        <w:rPr>
          <w:rFonts w:cstheme="minorHAnsi"/>
        </w:rPr>
        <w:t>5</w:t>
      </w:r>
      <w:r w:rsidR="00F81D8F" w:rsidRPr="0013571A">
        <w:rPr>
          <w:rFonts w:cstheme="minorHAnsi"/>
        </w:rPr>
        <w:t>) “Financial Performance Waterfall (2025)”</w:t>
      </w:r>
    </w:p>
    <w:p w14:paraId="2B6A2C5B" w14:textId="1C9EF4EB" w:rsidR="00F81D8F" w:rsidRPr="0013571A" w:rsidRDefault="00F81D8F" w:rsidP="00326429">
      <w:pPr>
        <w:pStyle w:val="NoSpacing"/>
        <w:jc w:val="both"/>
        <w:rPr>
          <w:rFonts w:cstheme="minorHAnsi"/>
        </w:rPr>
      </w:pPr>
      <w:r w:rsidRPr="0013571A">
        <w:rPr>
          <w:rFonts w:cstheme="minorHAnsi"/>
        </w:rPr>
        <w:t>The 2025 waterfall shows the transformation from Total Revenues (25.78bn) to Net Income (6.bn):</w:t>
      </w:r>
    </w:p>
    <w:p w14:paraId="181D2363" w14:textId="77777777" w:rsidR="00F81D8F" w:rsidRPr="0013571A" w:rsidRDefault="00F81D8F" w:rsidP="0013571A">
      <w:pPr>
        <w:pStyle w:val="NoSpacing"/>
        <w:numPr>
          <w:ilvl w:val="0"/>
          <w:numId w:val="5"/>
        </w:numPr>
        <w:ind w:left="568" w:hanging="284"/>
        <w:jc w:val="both"/>
        <w:rPr>
          <w:rFonts w:cstheme="minorHAnsi"/>
        </w:rPr>
      </w:pPr>
      <w:r w:rsidRPr="0013571A">
        <w:rPr>
          <w:rFonts w:cstheme="minorHAnsi"/>
        </w:rPr>
        <w:t>Total Revenues: 25.78bn</w:t>
      </w:r>
    </w:p>
    <w:p w14:paraId="187F887C" w14:textId="7B4FF93D" w:rsidR="00F81D8F" w:rsidRPr="0013571A" w:rsidRDefault="00F81D8F" w:rsidP="0013571A">
      <w:pPr>
        <w:pStyle w:val="NoSpacing"/>
        <w:numPr>
          <w:ilvl w:val="0"/>
          <w:numId w:val="5"/>
        </w:numPr>
        <w:ind w:left="568" w:hanging="284"/>
        <w:jc w:val="both"/>
        <w:rPr>
          <w:rFonts w:cstheme="minorHAnsi"/>
        </w:rPr>
      </w:pPr>
      <w:r w:rsidRPr="0013571A">
        <w:rPr>
          <w:rFonts w:cstheme="minorHAnsi"/>
        </w:rPr>
        <w:t>Non</w:t>
      </w:r>
      <w:r w:rsidRPr="0013571A">
        <w:rPr>
          <w:rFonts w:ascii="Cambria Math" w:hAnsi="Cambria Math" w:cs="Cambria Math"/>
        </w:rPr>
        <w:t>‑</w:t>
      </w:r>
      <w:r w:rsidRPr="0013571A">
        <w:rPr>
          <w:rFonts w:cstheme="minorHAnsi"/>
        </w:rPr>
        <w:t xml:space="preserve">Interest Expense: </w:t>
      </w:r>
      <w:r w:rsidR="0013571A" w:rsidRPr="0013571A">
        <w:rPr>
          <w:rFonts w:cstheme="minorHAnsi"/>
        </w:rPr>
        <w:t>-</w:t>
      </w:r>
      <w:r w:rsidRPr="0013571A">
        <w:rPr>
          <w:rFonts w:cstheme="minorHAnsi"/>
        </w:rPr>
        <w:t>17.32bn</w:t>
      </w:r>
    </w:p>
    <w:p w14:paraId="7835F9A3" w14:textId="77777777" w:rsidR="00F81D8F" w:rsidRPr="0013571A" w:rsidRDefault="00F81D8F" w:rsidP="0013571A">
      <w:pPr>
        <w:pStyle w:val="NoSpacing"/>
        <w:numPr>
          <w:ilvl w:val="0"/>
          <w:numId w:val="5"/>
        </w:numPr>
        <w:ind w:left="568" w:hanging="284"/>
        <w:jc w:val="both"/>
        <w:rPr>
          <w:rFonts w:cstheme="minorHAnsi"/>
        </w:rPr>
      </w:pPr>
      <w:r w:rsidRPr="0013571A">
        <w:rPr>
          <w:rFonts w:cstheme="minorHAnsi"/>
        </w:rPr>
        <w:t>EBT: 8.46bn</w:t>
      </w:r>
    </w:p>
    <w:p w14:paraId="08E7EB4F" w14:textId="77777777" w:rsidR="00F81D8F" w:rsidRPr="0013571A" w:rsidRDefault="00F81D8F" w:rsidP="0013571A">
      <w:pPr>
        <w:pStyle w:val="NoSpacing"/>
        <w:numPr>
          <w:ilvl w:val="0"/>
          <w:numId w:val="5"/>
        </w:numPr>
        <w:ind w:left="568" w:hanging="284"/>
        <w:jc w:val="both"/>
        <w:rPr>
          <w:rFonts w:cstheme="minorHAnsi"/>
        </w:rPr>
      </w:pPr>
      <w:r w:rsidRPr="0013571A">
        <w:rPr>
          <w:rFonts w:cstheme="minorHAnsi"/>
        </w:rPr>
        <w:t>Net Income: 6.00bn</w:t>
      </w:r>
    </w:p>
    <w:p w14:paraId="45CD27CD" w14:textId="608D45FA" w:rsidR="00F81D8F" w:rsidRPr="0013571A" w:rsidRDefault="00F81D8F" w:rsidP="00326429">
      <w:pPr>
        <w:pStyle w:val="NoSpacing"/>
        <w:jc w:val="both"/>
        <w:rPr>
          <w:rFonts w:cstheme="minorHAnsi"/>
        </w:rPr>
      </w:pPr>
      <w:r w:rsidRPr="0013571A">
        <w:rPr>
          <w:rFonts w:cstheme="minorHAnsi"/>
        </w:rPr>
        <w:t>Operating expenses absorb a significant portion of revenues, but the bank still generates a solid pre</w:t>
      </w:r>
      <w:r w:rsidRPr="0013571A">
        <w:rPr>
          <w:rFonts w:ascii="Cambria Math" w:hAnsi="Cambria Math" w:cs="Cambria Math"/>
        </w:rPr>
        <w:t>‑</w:t>
      </w:r>
      <w:r w:rsidRPr="0013571A">
        <w:rPr>
          <w:rFonts w:cstheme="minorHAnsi"/>
        </w:rPr>
        <w:t>tax profit. The Net Income of 6bn marks one of the strongest results in the 2016</w:t>
      </w:r>
      <w:r w:rsidR="0013571A" w:rsidRPr="0013571A">
        <w:rPr>
          <w:rFonts w:cstheme="minorHAnsi"/>
        </w:rPr>
        <w:t>-</w:t>
      </w:r>
      <w:r w:rsidRPr="0013571A">
        <w:rPr>
          <w:rFonts w:cstheme="minorHAnsi"/>
        </w:rPr>
        <w:t>2025 period, surpassed only by 2021 (5.64bn) and now exceeding it.</w:t>
      </w:r>
    </w:p>
    <w:p w14:paraId="6FAF851B" w14:textId="48668EA4" w:rsidR="00F81D8F" w:rsidRPr="0013571A" w:rsidRDefault="00F81D8F" w:rsidP="00326429">
      <w:pPr>
        <w:pStyle w:val="NoSpacing"/>
        <w:jc w:val="both"/>
        <w:rPr>
          <w:rFonts w:cstheme="minorHAnsi"/>
        </w:rPr>
      </w:pPr>
      <w:r w:rsidRPr="0013571A">
        <w:rPr>
          <w:rFonts w:cstheme="minorHAnsi"/>
        </w:rPr>
        <w:t>2025 is a strong profitability year, driven by revenue recovery and improved cost efficiency.</w:t>
      </w:r>
    </w:p>
    <w:p w14:paraId="02D22FE4" w14:textId="70319103" w:rsidR="00977467" w:rsidRPr="0013571A" w:rsidRDefault="00977467" w:rsidP="00326429">
      <w:pPr>
        <w:pStyle w:val="NoSpacing"/>
        <w:jc w:val="both"/>
        <w:rPr>
          <w:rFonts w:cstheme="minorHAnsi"/>
        </w:rPr>
      </w:pPr>
    </w:p>
    <w:p w14:paraId="16C70748" w14:textId="77777777" w:rsidR="00F81D8F" w:rsidRPr="0013571A" w:rsidRDefault="00F81D8F" w:rsidP="00326429">
      <w:pPr>
        <w:pStyle w:val="NoSpacing"/>
        <w:jc w:val="both"/>
        <w:rPr>
          <w:rFonts w:cstheme="minorHAnsi"/>
        </w:rPr>
      </w:pPr>
    </w:p>
    <w:p w14:paraId="480709DD" w14:textId="77777777" w:rsidR="00F81D8F" w:rsidRPr="0013571A" w:rsidRDefault="00F81D8F" w:rsidP="00326429">
      <w:pPr>
        <w:jc w:val="both"/>
        <w:rPr>
          <w:rFonts w:cstheme="minorHAnsi"/>
        </w:rPr>
      </w:pPr>
      <w:r w:rsidRPr="0013571A">
        <w:rPr>
          <w:rFonts w:cstheme="minorHAnsi"/>
        </w:rPr>
        <w:br w:type="page"/>
      </w:r>
    </w:p>
    <w:p w14:paraId="7E2058B0" w14:textId="122E1F59" w:rsidR="00F81D8F" w:rsidRPr="0013571A" w:rsidRDefault="00F81D8F" w:rsidP="00326429">
      <w:pPr>
        <w:pStyle w:val="NoSpacing"/>
        <w:jc w:val="both"/>
        <w:rPr>
          <w:rFonts w:cstheme="minorHAnsi"/>
          <w:b/>
          <w:bCs/>
        </w:rPr>
      </w:pPr>
      <w:r w:rsidRPr="0013571A">
        <w:rPr>
          <w:rFonts w:cstheme="minorHAnsi"/>
          <w:b/>
          <w:bCs/>
        </w:rPr>
        <w:lastRenderedPageBreak/>
        <w:t>Balance Sheet Structure - Page 3 from the Dashboard</w:t>
      </w:r>
    </w:p>
    <w:p w14:paraId="6B21405B" w14:textId="77777777" w:rsidR="00E91007" w:rsidRPr="0013571A" w:rsidRDefault="00E91007" w:rsidP="00E91007">
      <w:pPr>
        <w:pStyle w:val="NoSpacing"/>
        <w:jc w:val="both"/>
        <w:rPr>
          <w:rFonts w:cstheme="minorHAnsi"/>
        </w:rPr>
      </w:pPr>
    </w:p>
    <w:p w14:paraId="5B33462C" w14:textId="50C4797F" w:rsidR="00E91007" w:rsidRPr="0013571A" w:rsidRDefault="00E91007" w:rsidP="00E91007">
      <w:pPr>
        <w:pStyle w:val="NoSpacing"/>
        <w:jc w:val="both"/>
        <w:rPr>
          <w:rFonts w:cstheme="minorHAnsi"/>
        </w:rPr>
      </w:pPr>
      <w:r w:rsidRPr="0013571A">
        <w:rPr>
          <w:rFonts w:cstheme="minorHAnsi"/>
        </w:rPr>
        <w:t>1) Overall narrative for third page of the dashboard:</w:t>
      </w:r>
    </w:p>
    <w:p w14:paraId="5917EE95" w14:textId="77777777" w:rsidR="00E91007" w:rsidRPr="0013571A" w:rsidRDefault="00E91007" w:rsidP="00E91007">
      <w:pPr>
        <w:pStyle w:val="NoSpacing"/>
        <w:jc w:val="both"/>
        <w:rPr>
          <w:rFonts w:cstheme="minorHAnsi"/>
        </w:rPr>
      </w:pPr>
      <w:r w:rsidRPr="0013571A">
        <w:rPr>
          <w:rFonts w:cstheme="minorHAnsi"/>
        </w:rPr>
        <w:t>The 2025 balance sheet shows a traditional, loan</w:t>
      </w:r>
      <w:r w:rsidRPr="0013571A">
        <w:rPr>
          <w:rFonts w:ascii="Cambria Math" w:hAnsi="Cambria Math" w:cs="Cambria Math"/>
        </w:rPr>
        <w:t>‑</w:t>
      </w:r>
      <w:r w:rsidRPr="0013571A">
        <w:rPr>
          <w:rFonts w:cstheme="minorHAnsi"/>
        </w:rPr>
        <w:t>driven asset structure, with Net Loans (445bn) representing the largest share of total assets (1,547bn). Despite moderate fluctuations over the decade, the bank maintains a stable credit portfolio, supported by consistent asset growth and a conservative provisioning policy. Cash and other assets complement the structure, but lending remains the core activity shaping the balance sheet.</w:t>
      </w:r>
    </w:p>
    <w:p w14:paraId="0628B9DA" w14:textId="77777777" w:rsidR="00E91007" w:rsidRPr="0013571A" w:rsidRDefault="00E91007" w:rsidP="00E91007">
      <w:pPr>
        <w:pStyle w:val="NoSpacing"/>
        <w:jc w:val="both"/>
        <w:rPr>
          <w:rFonts w:cstheme="minorHAnsi"/>
        </w:rPr>
      </w:pPr>
      <w:r w:rsidRPr="0013571A">
        <w:rPr>
          <w:rFonts w:cstheme="minorHAnsi"/>
        </w:rPr>
        <w:t>On the liabilities side, customer deposits continue to be the dominant funding source, reaching 609bn in 2025, and forming the foundation of the bank’s funding model. Short</w:t>
      </w:r>
      <w:r w:rsidRPr="0013571A">
        <w:rPr>
          <w:rFonts w:ascii="Cambria Math" w:hAnsi="Cambria Math" w:cs="Cambria Math"/>
        </w:rPr>
        <w:t>‑</w:t>
      </w:r>
      <w:r w:rsidRPr="0013571A">
        <w:rPr>
          <w:rFonts w:cstheme="minorHAnsi"/>
        </w:rPr>
        <w:t>term borrowings have declined significantly over the period</w:t>
      </w:r>
      <w:r w:rsidRPr="0013571A">
        <w:rPr>
          <w:rFonts w:ascii="Calibri" w:hAnsi="Calibri" w:cs="Calibri"/>
        </w:rPr>
        <w:t>—</w:t>
      </w:r>
      <w:r w:rsidRPr="0013571A">
        <w:rPr>
          <w:rFonts w:cstheme="minorHAnsi"/>
        </w:rPr>
        <w:t>from 235bn in 2016 to 128bn in 2025</w:t>
      </w:r>
      <w:r w:rsidRPr="0013571A">
        <w:rPr>
          <w:rFonts w:ascii="Calibri" w:hAnsi="Calibri" w:cs="Calibri"/>
        </w:rPr>
        <w:t>—</w:t>
      </w:r>
      <w:r w:rsidRPr="0013571A">
        <w:rPr>
          <w:rFonts w:cstheme="minorHAnsi"/>
        </w:rPr>
        <w:t>indicating a reduced reliance on wholesale funding. Long</w:t>
      </w:r>
      <w:r w:rsidRPr="0013571A">
        <w:rPr>
          <w:rFonts w:ascii="Cambria Math" w:hAnsi="Cambria Math" w:cs="Cambria Math"/>
        </w:rPr>
        <w:t>‑</w:t>
      </w:r>
      <w:r w:rsidRPr="0013571A">
        <w:rPr>
          <w:rFonts w:cstheme="minorHAnsi"/>
        </w:rPr>
        <w:t>term debt, after bottoming out in 2021, has recovered to 103bn, contributing to a more balanced maturity profile. Other liabilities remain substantial, while equity has grown steadily to 79.5bn, reinforcing the bank’s capital position.</w:t>
      </w:r>
    </w:p>
    <w:p w14:paraId="636E8D00" w14:textId="77777777" w:rsidR="00E91007" w:rsidRPr="0013571A" w:rsidRDefault="00E91007" w:rsidP="00E91007">
      <w:pPr>
        <w:pStyle w:val="NoSpacing"/>
        <w:jc w:val="both"/>
        <w:rPr>
          <w:rFonts w:cstheme="minorHAnsi"/>
        </w:rPr>
      </w:pPr>
      <w:r w:rsidRPr="0013571A">
        <w:rPr>
          <w:rFonts w:cstheme="minorHAnsi"/>
        </w:rPr>
        <w:t>The Loan</w:t>
      </w:r>
      <w:r w:rsidRPr="0013571A">
        <w:rPr>
          <w:rFonts w:ascii="Cambria Math" w:hAnsi="Cambria Math" w:cs="Cambria Math"/>
        </w:rPr>
        <w:t>‑</w:t>
      </w:r>
      <w:r w:rsidRPr="0013571A">
        <w:rPr>
          <w:rFonts w:cstheme="minorHAnsi"/>
        </w:rPr>
        <w:t>to</w:t>
      </w:r>
      <w:r w:rsidRPr="0013571A">
        <w:rPr>
          <w:rFonts w:ascii="Cambria Math" w:hAnsi="Cambria Math" w:cs="Cambria Math"/>
        </w:rPr>
        <w:t>‑</w:t>
      </w:r>
      <w:r w:rsidRPr="0013571A">
        <w:rPr>
          <w:rFonts w:cstheme="minorHAnsi"/>
        </w:rPr>
        <w:t>Deposit Ratio (LDR) shows a clear improving trend, decreasing from 88.4% in 2016 to 74.6% in 2025. This reflects stronger liquidity, healthier funding dynamics, and a more conservative balance sheet stance. At the same time, the Equity Ratio gradually strengthens - from 4.75% in 2016 to 5.14% in 2025—supported by retained earnings and moderate asset growth. Together, these trends indicate a more resilient and better</w:t>
      </w:r>
      <w:r w:rsidRPr="0013571A">
        <w:rPr>
          <w:rFonts w:ascii="Cambria Math" w:hAnsi="Cambria Math" w:cs="Cambria Math"/>
        </w:rPr>
        <w:t>‑</w:t>
      </w:r>
      <w:r w:rsidRPr="0013571A">
        <w:rPr>
          <w:rFonts w:cstheme="minorHAnsi"/>
        </w:rPr>
        <w:t>capitalized balance sheet, aligned with prudent risk management and regulatory expectations.</w:t>
      </w:r>
    </w:p>
    <w:p w14:paraId="23242AAB" w14:textId="77777777" w:rsidR="00E91007" w:rsidRPr="0013571A" w:rsidRDefault="00E91007" w:rsidP="00E91007">
      <w:pPr>
        <w:pStyle w:val="NoSpacing"/>
        <w:jc w:val="both"/>
        <w:rPr>
          <w:rFonts w:cstheme="minorHAnsi"/>
        </w:rPr>
      </w:pPr>
      <w:r w:rsidRPr="0013571A">
        <w:rPr>
          <w:rFonts w:cstheme="minorHAnsi"/>
        </w:rPr>
        <w:t>Overall, the bank enters 2025 with a solid balance sheet structure, characterized by a stable loan portfolio, deposit</w:t>
      </w:r>
      <w:r w:rsidRPr="0013571A">
        <w:rPr>
          <w:rFonts w:ascii="Cambria Math" w:hAnsi="Cambria Math" w:cs="Cambria Math"/>
        </w:rPr>
        <w:t>‑</w:t>
      </w:r>
      <w:r w:rsidRPr="0013571A">
        <w:rPr>
          <w:rFonts w:cstheme="minorHAnsi"/>
        </w:rPr>
        <w:t>anchored funding, improving liquidity metrics, and a strengthening capital base.</w:t>
      </w:r>
    </w:p>
    <w:p w14:paraId="7E87B890" w14:textId="77777777" w:rsidR="00E91007" w:rsidRPr="0013571A" w:rsidRDefault="00E91007" w:rsidP="00E91007">
      <w:pPr>
        <w:pStyle w:val="NoSpacing"/>
        <w:jc w:val="both"/>
        <w:rPr>
          <w:rFonts w:cstheme="minorHAnsi"/>
        </w:rPr>
      </w:pPr>
    </w:p>
    <w:p w14:paraId="5DF51E38" w14:textId="73515D9F" w:rsidR="00F81D8F" w:rsidRPr="0013571A" w:rsidRDefault="00E91007" w:rsidP="00326429">
      <w:pPr>
        <w:pStyle w:val="NoSpacing"/>
        <w:jc w:val="both"/>
        <w:rPr>
          <w:rFonts w:cstheme="minorHAnsi"/>
        </w:rPr>
      </w:pPr>
      <w:r w:rsidRPr="0013571A">
        <w:rPr>
          <w:rFonts w:cstheme="minorHAnsi"/>
        </w:rPr>
        <w:t>2</w:t>
      </w:r>
      <w:r w:rsidR="00F81D8F" w:rsidRPr="0013571A">
        <w:rPr>
          <w:rFonts w:cstheme="minorHAnsi"/>
        </w:rPr>
        <w:t xml:space="preserve">) 100% stacked column chart as “Balance Sheet - Vertical composition (2025)” </w:t>
      </w:r>
    </w:p>
    <w:p w14:paraId="3147EF3E" w14:textId="5DD14DE8" w:rsidR="000A4A4F" w:rsidRPr="0013571A" w:rsidRDefault="000A4A4F" w:rsidP="00326429">
      <w:pPr>
        <w:pStyle w:val="NoSpacing"/>
        <w:jc w:val="both"/>
        <w:rPr>
          <w:rFonts w:cstheme="minorHAnsi"/>
        </w:rPr>
      </w:pPr>
      <w:r w:rsidRPr="0013571A">
        <w:rPr>
          <w:rFonts w:cstheme="minorHAnsi"/>
        </w:rPr>
        <w:t>The 2025 vertical composition shows a loan</w:t>
      </w:r>
      <w:r w:rsidRPr="0013571A">
        <w:rPr>
          <w:rFonts w:ascii="Cambria Math" w:hAnsi="Cambria Math" w:cs="Cambria Math"/>
        </w:rPr>
        <w:t>‑</w:t>
      </w:r>
      <w:r w:rsidRPr="0013571A">
        <w:rPr>
          <w:rFonts w:cstheme="minorHAnsi"/>
        </w:rPr>
        <w:t>centric asset structure, with Net Loans at 445bn forming the largest share of total assets (1,547bn). Cash and other assets complete the remaining portion, but the balance sheet remains primarily driven by credit activity.</w:t>
      </w:r>
    </w:p>
    <w:p w14:paraId="2FB1F5DD" w14:textId="77777777" w:rsidR="000A4A4F" w:rsidRPr="0013571A" w:rsidRDefault="000A4A4F" w:rsidP="00326429">
      <w:pPr>
        <w:pStyle w:val="NoSpacing"/>
        <w:jc w:val="both"/>
        <w:rPr>
          <w:rFonts w:cstheme="minorHAnsi"/>
        </w:rPr>
      </w:pPr>
      <w:r w:rsidRPr="0013571A">
        <w:rPr>
          <w:rFonts w:cstheme="minorHAnsi"/>
        </w:rPr>
        <w:t>On the liabilities side, Total Deposits (609bn) represent the dominant funding source, followed by Short</w:t>
      </w:r>
      <w:r w:rsidRPr="0013571A">
        <w:rPr>
          <w:rFonts w:ascii="Cambria Math" w:hAnsi="Cambria Math" w:cs="Cambria Math"/>
        </w:rPr>
        <w:t>‑</w:t>
      </w:r>
      <w:r w:rsidRPr="0013571A">
        <w:rPr>
          <w:rFonts w:cstheme="minorHAnsi"/>
        </w:rPr>
        <w:t>Term Borrowings (128bn) and Long</w:t>
      </w:r>
      <w:r w:rsidRPr="0013571A">
        <w:rPr>
          <w:rFonts w:ascii="Cambria Math" w:hAnsi="Cambria Math" w:cs="Cambria Math"/>
        </w:rPr>
        <w:t>‑</w:t>
      </w:r>
      <w:r w:rsidRPr="0013571A">
        <w:rPr>
          <w:rFonts w:cstheme="minorHAnsi"/>
        </w:rPr>
        <w:t>Term Debt (103bn). Other liabilities and equity complete the structure, with equity at 79.5bn.</w:t>
      </w:r>
    </w:p>
    <w:p w14:paraId="50B90AD8" w14:textId="4998745C" w:rsidR="00F81D8F" w:rsidRPr="0013571A" w:rsidRDefault="000A4A4F" w:rsidP="00326429">
      <w:pPr>
        <w:pStyle w:val="NoSpacing"/>
        <w:jc w:val="both"/>
        <w:rPr>
          <w:rFonts w:cstheme="minorHAnsi"/>
        </w:rPr>
      </w:pPr>
      <w:r w:rsidRPr="0013571A">
        <w:rPr>
          <w:rFonts w:cstheme="minorHAnsi"/>
        </w:rPr>
        <w:t>The bank maintains a traditional, deposit</w:t>
      </w:r>
      <w:r w:rsidRPr="0013571A">
        <w:rPr>
          <w:rFonts w:ascii="Cambria Math" w:hAnsi="Cambria Math" w:cs="Cambria Math"/>
        </w:rPr>
        <w:t>‑</w:t>
      </w:r>
      <w:r w:rsidRPr="0013571A">
        <w:rPr>
          <w:rFonts w:cstheme="minorHAnsi"/>
        </w:rPr>
        <w:t>funded lending model, with a stable asset mix and a funding structure anchored in customer deposits.</w:t>
      </w:r>
    </w:p>
    <w:p w14:paraId="2563F028" w14:textId="77777777" w:rsidR="00F81D8F" w:rsidRPr="0013571A" w:rsidRDefault="00F81D8F" w:rsidP="00326429">
      <w:pPr>
        <w:pStyle w:val="NoSpacing"/>
        <w:jc w:val="both"/>
        <w:rPr>
          <w:rFonts w:cstheme="minorHAnsi"/>
        </w:rPr>
      </w:pPr>
    </w:p>
    <w:p w14:paraId="1F953E2F" w14:textId="6EAEBEA1" w:rsidR="00F81D8F" w:rsidRPr="0013571A" w:rsidRDefault="00E91007" w:rsidP="00326429">
      <w:pPr>
        <w:pStyle w:val="NoSpacing"/>
        <w:jc w:val="both"/>
        <w:rPr>
          <w:rFonts w:cstheme="minorHAnsi"/>
        </w:rPr>
      </w:pPr>
      <w:r w:rsidRPr="0013571A">
        <w:rPr>
          <w:rFonts w:cstheme="minorHAnsi"/>
        </w:rPr>
        <w:t>3</w:t>
      </w:r>
      <w:r w:rsidR="00F81D8F" w:rsidRPr="0013571A">
        <w:rPr>
          <w:rFonts w:cstheme="minorHAnsi"/>
        </w:rPr>
        <w:t>) Pie chart as “Funding Structure (2025)”</w:t>
      </w:r>
    </w:p>
    <w:p w14:paraId="785E2F26" w14:textId="43165170" w:rsidR="000A4A4F" w:rsidRPr="0013571A" w:rsidRDefault="000A4A4F" w:rsidP="00326429">
      <w:pPr>
        <w:pStyle w:val="NoSpacing"/>
        <w:jc w:val="both"/>
        <w:rPr>
          <w:rFonts w:cstheme="minorHAnsi"/>
        </w:rPr>
      </w:pPr>
      <w:r w:rsidRPr="0013571A">
        <w:rPr>
          <w:rFonts w:cstheme="minorHAnsi"/>
        </w:rPr>
        <w:t>Deposits remain the largest and most stable funding source, while short</w:t>
      </w:r>
      <w:r w:rsidRPr="0013571A">
        <w:rPr>
          <w:rFonts w:ascii="Cambria Math" w:hAnsi="Cambria Math" w:cs="Cambria Math"/>
        </w:rPr>
        <w:t>‑</w:t>
      </w:r>
      <w:r w:rsidRPr="0013571A">
        <w:rPr>
          <w:rFonts w:cstheme="minorHAnsi"/>
        </w:rPr>
        <w:t>term borrowings have declined significantly compared to earlier years (e.g. 235bn in 2016). Long</w:t>
      </w:r>
      <w:r w:rsidRPr="0013571A">
        <w:rPr>
          <w:rFonts w:ascii="Cambria Math" w:hAnsi="Cambria Math" w:cs="Cambria Math"/>
        </w:rPr>
        <w:t>‑</w:t>
      </w:r>
      <w:r w:rsidRPr="0013571A">
        <w:rPr>
          <w:rFonts w:cstheme="minorHAnsi"/>
        </w:rPr>
        <w:t>term debt has recovered from the 2021 low (41.8bn) to 103bn in 2025.</w:t>
      </w:r>
    </w:p>
    <w:p w14:paraId="3B7F63DF" w14:textId="407585B7" w:rsidR="00F81D8F" w:rsidRPr="0013571A" w:rsidRDefault="000A4A4F" w:rsidP="00326429">
      <w:pPr>
        <w:pStyle w:val="NoSpacing"/>
        <w:jc w:val="both"/>
        <w:rPr>
          <w:rFonts w:cstheme="minorHAnsi"/>
        </w:rPr>
      </w:pPr>
      <w:r w:rsidRPr="0013571A">
        <w:rPr>
          <w:rFonts w:cstheme="minorHAnsi"/>
        </w:rPr>
        <w:t>The bank’s funding structure is stable and well</w:t>
      </w:r>
      <w:r w:rsidRPr="0013571A">
        <w:rPr>
          <w:rFonts w:ascii="Cambria Math" w:hAnsi="Cambria Math" w:cs="Cambria Math"/>
        </w:rPr>
        <w:t>‑</w:t>
      </w:r>
      <w:r w:rsidRPr="0013571A">
        <w:rPr>
          <w:rFonts w:cstheme="minorHAnsi"/>
        </w:rPr>
        <w:t>diversified, with a clear shift toward lower reliance on short</w:t>
      </w:r>
      <w:r w:rsidRPr="0013571A">
        <w:rPr>
          <w:rFonts w:ascii="Cambria Math" w:hAnsi="Cambria Math" w:cs="Cambria Math"/>
        </w:rPr>
        <w:t>‑</w:t>
      </w:r>
      <w:r w:rsidRPr="0013571A">
        <w:rPr>
          <w:rFonts w:cstheme="minorHAnsi"/>
        </w:rPr>
        <w:t>term wholesale funding and a more balanced maturity profile.</w:t>
      </w:r>
    </w:p>
    <w:p w14:paraId="6DCDF729" w14:textId="77777777" w:rsidR="00F81D8F" w:rsidRPr="0013571A" w:rsidRDefault="00F81D8F" w:rsidP="00326429">
      <w:pPr>
        <w:pStyle w:val="NoSpacing"/>
        <w:jc w:val="both"/>
        <w:rPr>
          <w:rFonts w:cstheme="minorHAnsi"/>
        </w:rPr>
      </w:pPr>
    </w:p>
    <w:p w14:paraId="212730D7" w14:textId="24C092C7" w:rsidR="00F81D8F" w:rsidRPr="0013571A" w:rsidRDefault="00E91007" w:rsidP="00326429">
      <w:pPr>
        <w:pStyle w:val="NoSpacing"/>
        <w:jc w:val="both"/>
        <w:rPr>
          <w:rFonts w:cstheme="minorHAnsi"/>
        </w:rPr>
      </w:pPr>
      <w:r w:rsidRPr="0013571A">
        <w:rPr>
          <w:rFonts w:cstheme="minorHAnsi"/>
        </w:rPr>
        <w:t>4</w:t>
      </w:r>
      <w:r w:rsidR="00F81D8F" w:rsidRPr="0013571A">
        <w:rPr>
          <w:rFonts w:cstheme="minorHAnsi"/>
        </w:rPr>
        <w:t>) Line chart as “Loan to Deposit Ratio trend</w:t>
      </w:r>
      <w:r w:rsidR="007047E2" w:rsidRPr="0013571A">
        <w:rPr>
          <w:rFonts w:cstheme="minorHAnsi"/>
        </w:rPr>
        <w:t xml:space="preserve"> (2016 - 2025)</w:t>
      </w:r>
      <w:r w:rsidR="00F81D8F" w:rsidRPr="0013571A">
        <w:rPr>
          <w:rFonts w:cstheme="minorHAnsi"/>
        </w:rPr>
        <w:t xml:space="preserve">” </w:t>
      </w:r>
    </w:p>
    <w:p w14:paraId="2C341644" w14:textId="77777777" w:rsidR="000A4A4F" w:rsidRPr="0013571A" w:rsidRDefault="000A4A4F" w:rsidP="00326429">
      <w:pPr>
        <w:pStyle w:val="NoSpacing"/>
        <w:jc w:val="both"/>
        <w:rPr>
          <w:rFonts w:cstheme="minorHAnsi"/>
        </w:rPr>
      </w:pPr>
      <w:r w:rsidRPr="0013571A">
        <w:rPr>
          <w:rFonts w:cstheme="minorHAnsi"/>
        </w:rPr>
        <w:t>The Loan</w:t>
      </w:r>
      <w:r w:rsidRPr="0013571A">
        <w:rPr>
          <w:rFonts w:ascii="Cambria Math" w:hAnsi="Cambria Math" w:cs="Cambria Math"/>
        </w:rPr>
        <w:t>‑</w:t>
      </w:r>
      <w:r w:rsidRPr="0013571A">
        <w:rPr>
          <w:rFonts w:cstheme="minorHAnsi"/>
        </w:rPr>
        <w:t>to</w:t>
      </w:r>
      <w:r w:rsidRPr="0013571A">
        <w:rPr>
          <w:rFonts w:ascii="Cambria Math" w:hAnsi="Cambria Math" w:cs="Cambria Math"/>
        </w:rPr>
        <w:t>‑</w:t>
      </w:r>
      <w:r w:rsidRPr="0013571A">
        <w:rPr>
          <w:rFonts w:cstheme="minorHAnsi"/>
        </w:rPr>
        <w:t>Deposit Ratio (LDR) shows a steady improvement:</w:t>
      </w:r>
    </w:p>
    <w:p w14:paraId="7008BAB6" w14:textId="77777777" w:rsidR="000A4A4F" w:rsidRPr="0013571A" w:rsidRDefault="000A4A4F" w:rsidP="0013571A">
      <w:pPr>
        <w:pStyle w:val="NoSpacing"/>
        <w:numPr>
          <w:ilvl w:val="0"/>
          <w:numId w:val="15"/>
        </w:numPr>
        <w:ind w:left="567" w:hanging="283"/>
        <w:jc w:val="both"/>
        <w:rPr>
          <w:rFonts w:cstheme="minorHAnsi"/>
        </w:rPr>
      </w:pPr>
      <w:r w:rsidRPr="0013571A">
        <w:rPr>
          <w:rFonts w:cstheme="minorHAnsi"/>
        </w:rPr>
        <w:t>2016: 88.4%</w:t>
      </w:r>
    </w:p>
    <w:p w14:paraId="1DE39AA6" w14:textId="77777777" w:rsidR="000A4A4F" w:rsidRPr="0013571A" w:rsidRDefault="000A4A4F" w:rsidP="0013571A">
      <w:pPr>
        <w:pStyle w:val="NoSpacing"/>
        <w:numPr>
          <w:ilvl w:val="0"/>
          <w:numId w:val="15"/>
        </w:numPr>
        <w:ind w:left="567" w:hanging="283"/>
        <w:jc w:val="both"/>
        <w:rPr>
          <w:rFonts w:cstheme="minorHAnsi"/>
        </w:rPr>
      </w:pPr>
      <w:r w:rsidRPr="0013571A">
        <w:rPr>
          <w:rFonts w:cstheme="minorHAnsi"/>
        </w:rPr>
        <w:t>2020: 77.4%</w:t>
      </w:r>
    </w:p>
    <w:p w14:paraId="751F97C3" w14:textId="77777777" w:rsidR="000A4A4F" w:rsidRPr="0013571A" w:rsidRDefault="000A4A4F" w:rsidP="0013571A">
      <w:pPr>
        <w:pStyle w:val="NoSpacing"/>
        <w:numPr>
          <w:ilvl w:val="0"/>
          <w:numId w:val="15"/>
        </w:numPr>
        <w:ind w:left="567" w:hanging="283"/>
        <w:jc w:val="both"/>
        <w:rPr>
          <w:rFonts w:cstheme="minorHAnsi"/>
        </w:rPr>
      </w:pPr>
      <w:r w:rsidRPr="0013571A">
        <w:rPr>
          <w:rFonts w:cstheme="minorHAnsi"/>
        </w:rPr>
        <w:t>2025: 74.6%</w:t>
      </w:r>
    </w:p>
    <w:p w14:paraId="2BF64045" w14:textId="77777777" w:rsidR="000A4A4F" w:rsidRPr="0013571A" w:rsidRDefault="000A4A4F" w:rsidP="00326429">
      <w:pPr>
        <w:pStyle w:val="NoSpacing"/>
        <w:jc w:val="both"/>
        <w:rPr>
          <w:rFonts w:cstheme="minorHAnsi"/>
        </w:rPr>
      </w:pPr>
      <w:r w:rsidRPr="0013571A">
        <w:rPr>
          <w:rFonts w:cstheme="minorHAnsi"/>
        </w:rPr>
        <w:t>This downward trend reflects:</w:t>
      </w:r>
    </w:p>
    <w:p w14:paraId="71D08E6E" w14:textId="0C936644" w:rsidR="000A4A4F" w:rsidRPr="0013571A" w:rsidRDefault="000A4A4F" w:rsidP="0013571A">
      <w:pPr>
        <w:pStyle w:val="NoSpacing"/>
        <w:numPr>
          <w:ilvl w:val="0"/>
          <w:numId w:val="16"/>
        </w:numPr>
        <w:ind w:left="567" w:hanging="283"/>
        <w:jc w:val="both"/>
        <w:rPr>
          <w:rFonts w:cstheme="minorHAnsi"/>
        </w:rPr>
      </w:pPr>
      <w:r w:rsidRPr="0013571A">
        <w:rPr>
          <w:rFonts w:cstheme="minorHAnsi"/>
        </w:rPr>
        <w:lastRenderedPageBreak/>
        <w:t>faster growth in deposits compared to loans, especially in 2020</w:t>
      </w:r>
      <w:r w:rsidR="0013571A" w:rsidRPr="0013571A">
        <w:rPr>
          <w:rFonts w:cstheme="minorHAnsi"/>
        </w:rPr>
        <w:t>-</w:t>
      </w:r>
      <w:r w:rsidRPr="0013571A">
        <w:rPr>
          <w:rFonts w:cstheme="minorHAnsi"/>
        </w:rPr>
        <w:t>2021</w:t>
      </w:r>
    </w:p>
    <w:p w14:paraId="1A8AA0AB" w14:textId="77777777" w:rsidR="000A4A4F" w:rsidRPr="0013571A" w:rsidRDefault="000A4A4F" w:rsidP="0013571A">
      <w:pPr>
        <w:pStyle w:val="NoSpacing"/>
        <w:numPr>
          <w:ilvl w:val="0"/>
          <w:numId w:val="16"/>
        </w:numPr>
        <w:ind w:left="567" w:hanging="283"/>
        <w:jc w:val="both"/>
        <w:rPr>
          <w:rFonts w:cstheme="minorHAnsi"/>
        </w:rPr>
      </w:pPr>
      <w:r w:rsidRPr="0013571A">
        <w:rPr>
          <w:rFonts w:cstheme="minorHAnsi"/>
        </w:rPr>
        <w:t>reduced reliance on wholesale funding</w:t>
      </w:r>
    </w:p>
    <w:p w14:paraId="39730E12" w14:textId="77777777" w:rsidR="000A4A4F" w:rsidRPr="0013571A" w:rsidRDefault="000A4A4F" w:rsidP="0013571A">
      <w:pPr>
        <w:pStyle w:val="NoSpacing"/>
        <w:numPr>
          <w:ilvl w:val="0"/>
          <w:numId w:val="16"/>
        </w:numPr>
        <w:ind w:left="567" w:hanging="283"/>
        <w:jc w:val="both"/>
        <w:rPr>
          <w:rFonts w:cstheme="minorHAnsi"/>
        </w:rPr>
      </w:pPr>
      <w:r w:rsidRPr="0013571A">
        <w:rPr>
          <w:rFonts w:cstheme="minorHAnsi"/>
        </w:rPr>
        <w:t>a more conservative liquidity position</w:t>
      </w:r>
    </w:p>
    <w:p w14:paraId="77895EE0" w14:textId="45348F9C" w:rsidR="00F81D8F" w:rsidRPr="0013571A" w:rsidRDefault="000A4A4F" w:rsidP="00326429">
      <w:pPr>
        <w:pStyle w:val="NoSpacing"/>
        <w:jc w:val="both"/>
        <w:rPr>
          <w:rFonts w:cstheme="minorHAnsi"/>
        </w:rPr>
      </w:pPr>
      <w:r w:rsidRPr="0013571A">
        <w:rPr>
          <w:rFonts w:cstheme="minorHAnsi"/>
        </w:rPr>
        <w:t>The bank has strengthened its liquidity profile over the decade, maintaining a comfortable LDR well below 100%, consistent with prudent funding practices.</w:t>
      </w:r>
    </w:p>
    <w:p w14:paraId="3CB8A798" w14:textId="77777777" w:rsidR="00F81D8F" w:rsidRPr="0013571A" w:rsidRDefault="00F81D8F" w:rsidP="00326429">
      <w:pPr>
        <w:pStyle w:val="NoSpacing"/>
        <w:jc w:val="both"/>
        <w:rPr>
          <w:rFonts w:cstheme="minorHAnsi"/>
        </w:rPr>
      </w:pPr>
    </w:p>
    <w:p w14:paraId="7CE9C475" w14:textId="41EC40FC" w:rsidR="00F81D8F" w:rsidRPr="0013571A" w:rsidRDefault="00E91007" w:rsidP="00326429">
      <w:pPr>
        <w:pStyle w:val="NoSpacing"/>
        <w:jc w:val="both"/>
        <w:rPr>
          <w:rFonts w:cstheme="minorHAnsi"/>
        </w:rPr>
      </w:pPr>
      <w:r w:rsidRPr="0013571A">
        <w:rPr>
          <w:rFonts w:cstheme="minorHAnsi"/>
        </w:rPr>
        <w:t>5</w:t>
      </w:r>
      <w:r w:rsidR="00F81D8F" w:rsidRPr="0013571A">
        <w:rPr>
          <w:rFonts w:cstheme="minorHAnsi"/>
        </w:rPr>
        <w:t>) Line chart as “Equity ratio trend</w:t>
      </w:r>
      <w:r w:rsidR="007047E2" w:rsidRPr="0013571A">
        <w:rPr>
          <w:rFonts w:cstheme="minorHAnsi"/>
        </w:rPr>
        <w:t xml:space="preserve"> (2016 - 2025)</w:t>
      </w:r>
      <w:r w:rsidR="00F81D8F" w:rsidRPr="0013571A">
        <w:rPr>
          <w:rFonts w:cstheme="minorHAnsi"/>
        </w:rPr>
        <w:t xml:space="preserve">” </w:t>
      </w:r>
    </w:p>
    <w:p w14:paraId="2DAF3690" w14:textId="77777777" w:rsidR="000A4A4F" w:rsidRPr="0013571A" w:rsidRDefault="000A4A4F" w:rsidP="00326429">
      <w:pPr>
        <w:pStyle w:val="NoSpacing"/>
        <w:jc w:val="both"/>
        <w:rPr>
          <w:rFonts w:cstheme="minorHAnsi"/>
        </w:rPr>
      </w:pPr>
      <w:r w:rsidRPr="0013571A">
        <w:rPr>
          <w:rFonts w:cstheme="minorHAnsi"/>
        </w:rPr>
        <w:t>The Equity Ratio increases gradually from 4.75% in 2016 to 5.14% in 2025, with minor fluctuations during the period.</w:t>
      </w:r>
    </w:p>
    <w:p w14:paraId="15CB2C2E" w14:textId="77777777" w:rsidR="000A4A4F" w:rsidRPr="0013571A" w:rsidRDefault="000A4A4F" w:rsidP="00326429">
      <w:pPr>
        <w:pStyle w:val="NoSpacing"/>
        <w:jc w:val="both"/>
        <w:rPr>
          <w:rFonts w:cstheme="minorHAnsi"/>
        </w:rPr>
      </w:pPr>
      <w:r w:rsidRPr="0013571A">
        <w:rPr>
          <w:rFonts w:cstheme="minorHAnsi"/>
        </w:rPr>
        <w:t>This improvement is driven by:</w:t>
      </w:r>
    </w:p>
    <w:p w14:paraId="4B36966D" w14:textId="77777777" w:rsidR="000A4A4F" w:rsidRPr="0013571A" w:rsidRDefault="000A4A4F" w:rsidP="0013571A">
      <w:pPr>
        <w:pStyle w:val="NoSpacing"/>
        <w:numPr>
          <w:ilvl w:val="0"/>
          <w:numId w:val="17"/>
        </w:numPr>
        <w:ind w:left="567" w:hanging="283"/>
        <w:jc w:val="both"/>
        <w:rPr>
          <w:rFonts w:cstheme="minorHAnsi"/>
        </w:rPr>
      </w:pPr>
      <w:r w:rsidRPr="0013571A">
        <w:rPr>
          <w:rFonts w:cstheme="minorHAnsi"/>
        </w:rPr>
        <w:t>steady growth in equity (from 65.7bn to 79.5bn)</w:t>
      </w:r>
    </w:p>
    <w:p w14:paraId="0F0C0AB3" w14:textId="77777777" w:rsidR="000A4A4F" w:rsidRPr="0013571A" w:rsidRDefault="000A4A4F" w:rsidP="0013571A">
      <w:pPr>
        <w:pStyle w:val="NoSpacing"/>
        <w:numPr>
          <w:ilvl w:val="0"/>
          <w:numId w:val="17"/>
        </w:numPr>
        <w:ind w:left="567" w:hanging="283"/>
        <w:jc w:val="both"/>
        <w:rPr>
          <w:rFonts w:cstheme="minorHAnsi"/>
        </w:rPr>
      </w:pPr>
      <w:r w:rsidRPr="0013571A">
        <w:rPr>
          <w:rFonts w:cstheme="minorHAnsi"/>
        </w:rPr>
        <w:t>moderate asset growth</w:t>
      </w:r>
    </w:p>
    <w:p w14:paraId="7F021C5F" w14:textId="77777777" w:rsidR="000A4A4F" w:rsidRPr="0013571A" w:rsidRDefault="000A4A4F" w:rsidP="0013571A">
      <w:pPr>
        <w:pStyle w:val="NoSpacing"/>
        <w:numPr>
          <w:ilvl w:val="0"/>
          <w:numId w:val="17"/>
        </w:numPr>
        <w:ind w:left="567" w:hanging="283"/>
        <w:jc w:val="both"/>
        <w:rPr>
          <w:rFonts w:cstheme="minorHAnsi"/>
        </w:rPr>
      </w:pPr>
      <w:r w:rsidRPr="0013571A">
        <w:rPr>
          <w:rFonts w:cstheme="minorHAnsi"/>
        </w:rPr>
        <w:t>retained earnings in profitable years</w:t>
      </w:r>
    </w:p>
    <w:p w14:paraId="4022A12D" w14:textId="27A00246" w:rsidR="000A4A4F" w:rsidRPr="0013571A" w:rsidRDefault="000A4A4F" w:rsidP="00326429">
      <w:pPr>
        <w:pStyle w:val="NoSpacing"/>
        <w:jc w:val="both"/>
        <w:rPr>
          <w:rFonts w:cstheme="minorHAnsi"/>
        </w:rPr>
      </w:pPr>
      <w:r w:rsidRPr="0013571A">
        <w:rPr>
          <w:rFonts w:cstheme="minorHAnsi"/>
        </w:rPr>
        <w:t>The bank’s capitalization has strengthened progressively, supporting balance sheet resilience and regulatory compliance.</w:t>
      </w:r>
    </w:p>
    <w:p w14:paraId="2026FE04" w14:textId="77777777" w:rsidR="003667E6" w:rsidRPr="0013571A" w:rsidRDefault="003667E6" w:rsidP="00326429">
      <w:pPr>
        <w:pStyle w:val="NoSpacing"/>
        <w:jc w:val="both"/>
        <w:rPr>
          <w:rFonts w:cstheme="minorHAnsi"/>
        </w:rPr>
      </w:pPr>
    </w:p>
    <w:p w14:paraId="6653B2A6" w14:textId="77777777" w:rsidR="000A4A4F" w:rsidRPr="0013571A" w:rsidRDefault="000A4A4F" w:rsidP="00326429">
      <w:pPr>
        <w:pStyle w:val="NoSpacing"/>
        <w:jc w:val="both"/>
        <w:rPr>
          <w:rFonts w:cstheme="minorHAnsi"/>
        </w:rPr>
      </w:pPr>
    </w:p>
    <w:p w14:paraId="21F0DC34" w14:textId="77777777" w:rsidR="009D7C51" w:rsidRPr="0013571A" w:rsidRDefault="009D7C51" w:rsidP="00326429">
      <w:pPr>
        <w:pStyle w:val="NoSpacing"/>
        <w:jc w:val="both"/>
        <w:rPr>
          <w:rFonts w:cstheme="minorHAnsi"/>
        </w:rPr>
      </w:pPr>
    </w:p>
    <w:p w14:paraId="6FB1C7E2" w14:textId="77777777" w:rsidR="00F81D8F" w:rsidRPr="0013571A" w:rsidRDefault="00F81D8F" w:rsidP="00326429">
      <w:pPr>
        <w:pStyle w:val="NoSpacing"/>
        <w:jc w:val="both"/>
        <w:rPr>
          <w:rFonts w:cstheme="minorHAnsi"/>
        </w:rPr>
      </w:pPr>
    </w:p>
    <w:p w14:paraId="57F16809" w14:textId="77777777" w:rsidR="00F81D8F" w:rsidRPr="0013571A" w:rsidRDefault="00F81D8F" w:rsidP="00326429">
      <w:pPr>
        <w:pStyle w:val="NoSpacing"/>
        <w:jc w:val="both"/>
        <w:rPr>
          <w:rFonts w:cstheme="minorHAnsi"/>
        </w:rPr>
      </w:pPr>
    </w:p>
    <w:p w14:paraId="69B96BDC" w14:textId="77777777" w:rsidR="00F81D8F" w:rsidRPr="0013571A" w:rsidRDefault="00F81D8F" w:rsidP="00326429">
      <w:pPr>
        <w:pStyle w:val="NoSpacing"/>
        <w:jc w:val="both"/>
        <w:rPr>
          <w:rFonts w:cstheme="minorHAnsi"/>
        </w:rPr>
      </w:pPr>
    </w:p>
    <w:p w14:paraId="047CEE1A" w14:textId="77777777" w:rsidR="00F81D8F" w:rsidRPr="0013571A" w:rsidRDefault="00F81D8F" w:rsidP="00326429">
      <w:pPr>
        <w:pStyle w:val="NoSpacing"/>
        <w:jc w:val="both"/>
        <w:rPr>
          <w:rFonts w:cstheme="minorHAnsi"/>
        </w:rPr>
      </w:pPr>
    </w:p>
    <w:p w14:paraId="41504CB7" w14:textId="77777777" w:rsidR="007047E2" w:rsidRPr="0013571A" w:rsidRDefault="007047E2" w:rsidP="00326429">
      <w:pPr>
        <w:jc w:val="both"/>
        <w:rPr>
          <w:rFonts w:cstheme="minorHAnsi"/>
          <w:b/>
          <w:bCs/>
        </w:rPr>
      </w:pPr>
      <w:r w:rsidRPr="0013571A">
        <w:rPr>
          <w:rFonts w:cstheme="minorHAnsi"/>
          <w:b/>
          <w:bCs/>
        </w:rPr>
        <w:br w:type="page"/>
      </w:r>
    </w:p>
    <w:p w14:paraId="323B1008" w14:textId="7C115E01" w:rsidR="00F81D8F" w:rsidRPr="0013571A" w:rsidRDefault="00F81D8F" w:rsidP="00326429">
      <w:pPr>
        <w:pStyle w:val="NoSpacing"/>
        <w:jc w:val="both"/>
        <w:rPr>
          <w:rFonts w:cstheme="minorHAnsi"/>
          <w:b/>
          <w:bCs/>
        </w:rPr>
      </w:pPr>
      <w:r w:rsidRPr="0013571A">
        <w:rPr>
          <w:rFonts w:cstheme="minorHAnsi"/>
          <w:b/>
          <w:bCs/>
        </w:rPr>
        <w:lastRenderedPageBreak/>
        <w:t>Asset Quality &amp; Risk - Page 4</w:t>
      </w:r>
      <w:r w:rsidRPr="0013571A">
        <w:rPr>
          <w:rFonts w:cstheme="minorHAnsi"/>
        </w:rPr>
        <w:t xml:space="preserve"> </w:t>
      </w:r>
      <w:r w:rsidRPr="0013571A">
        <w:rPr>
          <w:rFonts w:cstheme="minorHAnsi"/>
          <w:b/>
          <w:bCs/>
        </w:rPr>
        <w:t>from the Dashboard</w:t>
      </w:r>
    </w:p>
    <w:p w14:paraId="223D54BA" w14:textId="77777777" w:rsidR="00E91007" w:rsidRPr="0013571A" w:rsidRDefault="00E91007" w:rsidP="00326429">
      <w:pPr>
        <w:pStyle w:val="NoSpacing"/>
        <w:jc w:val="both"/>
        <w:rPr>
          <w:rFonts w:cstheme="minorHAnsi"/>
        </w:rPr>
      </w:pPr>
    </w:p>
    <w:p w14:paraId="7FCE21F8" w14:textId="0ACC3CDE" w:rsidR="00F81D8F" w:rsidRPr="0013571A" w:rsidRDefault="00581C7D" w:rsidP="00326429">
      <w:pPr>
        <w:pStyle w:val="NoSpacing"/>
        <w:jc w:val="both"/>
        <w:rPr>
          <w:rFonts w:cstheme="minorHAnsi"/>
        </w:rPr>
      </w:pPr>
      <w:r>
        <w:rPr>
          <w:rFonts w:cstheme="minorHAnsi"/>
        </w:rPr>
        <w:t>1</w:t>
      </w:r>
      <w:r w:rsidR="00F81D8F" w:rsidRPr="0013571A">
        <w:rPr>
          <w:rFonts w:cstheme="minorHAnsi"/>
        </w:rPr>
        <w:t>) Line chart as “NPL ratio trend (2016</w:t>
      </w:r>
      <w:r w:rsidR="007047E2" w:rsidRPr="0013571A">
        <w:rPr>
          <w:rFonts w:cstheme="minorHAnsi"/>
        </w:rPr>
        <w:t xml:space="preserve"> - </w:t>
      </w:r>
      <w:r w:rsidR="00F81D8F" w:rsidRPr="0013571A">
        <w:rPr>
          <w:rFonts w:cstheme="minorHAnsi"/>
        </w:rPr>
        <w:t xml:space="preserve">2025)” </w:t>
      </w:r>
    </w:p>
    <w:p w14:paraId="02289084" w14:textId="77777777" w:rsidR="004B462E" w:rsidRPr="0013571A" w:rsidRDefault="004B462E" w:rsidP="00326429">
      <w:pPr>
        <w:pStyle w:val="NoSpacing"/>
        <w:jc w:val="both"/>
        <w:rPr>
          <w:rFonts w:cstheme="minorHAnsi"/>
        </w:rPr>
      </w:pPr>
      <w:r w:rsidRPr="0013571A">
        <w:rPr>
          <w:rFonts w:cstheme="minorHAnsi"/>
        </w:rPr>
        <w:t>The NPL ratio shows a steady improvement from 5.7% in 2016 to 3.04% in 2025.</w:t>
      </w:r>
    </w:p>
    <w:p w14:paraId="693CB7CC" w14:textId="23A7877F" w:rsidR="004B462E" w:rsidRPr="0013571A" w:rsidRDefault="004B462E" w:rsidP="00326429">
      <w:pPr>
        <w:pStyle w:val="NoSpacing"/>
        <w:jc w:val="both"/>
        <w:rPr>
          <w:rFonts w:cstheme="minorHAnsi"/>
        </w:rPr>
      </w:pPr>
      <w:r w:rsidRPr="0013571A">
        <w:rPr>
          <w:rFonts w:cstheme="minorHAnsi"/>
        </w:rPr>
        <w:t>The most significant decline occurs between 2016 and 2019, when the ratio falls from 5.7% to 3.62%. After a slight uptick in 2020 (3.73%), the ratio stabilizes around 3.0</w:t>
      </w:r>
      <w:r w:rsidR="0013571A" w:rsidRPr="0013571A">
        <w:rPr>
          <w:rFonts w:cstheme="minorHAnsi"/>
        </w:rPr>
        <w:t>-</w:t>
      </w:r>
      <w:r w:rsidRPr="0013571A">
        <w:rPr>
          <w:rFonts w:cstheme="minorHAnsi"/>
        </w:rPr>
        <w:t>3.3% for the remainder of the period.</w:t>
      </w:r>
    </w:p>
    <w:p w14:paraId="7906F86D" w14:textId="5A4D87EB" w:rsidR="00F81D8F" w:rsidRPr="0013571A" w:rsidRDefault="004B462E" w:rsidP="00326429">
      <w:pPr>
        <w:pStyle w:val="NoSpacing"/>
        <w:jc w:val="both"/>
        <w:rPr>
          <w:rFonts w:cstheme="minorHAnsi"/>
        </w:rPr>
      </w:pPr>
      <w:r w:rsidRPr="0013571A">
        <w:rPr>
          <w:rFonts w:cstheme="minorHAnsi"/>
        </w:rPr>
        <w:t>The bank maintains strong and stable asset quality, with NPL levels well below pre</w:t>
      </w:r>
      <w:r w:rsidRPr="0013571A">
        <w:rPr>
          <w:rFonts w:ascii="Cambria Math" w:hAnsi="Cambria Math" w:cs="Cambria Math"/>
        </w:rPr>
        <w:t>‑</w:t>
      </w:r>
      <w:r w:rsidRPr="0013571A">
        <w:rPr>
          <w:rFonts w:cstheme="minorHAnsi"/>
        </w:rPr>
        <w:t>2019 values and minimal volatility in recent years.</w:t>
      </w:r>
    </w:p>
    <w:p w14:paraId="209F605D" w14:textId="77777777" w:rsidR="00F81D8F" w:rsidRPr="0013571A" w:rsidRDefault="00F81D8F" w:rsidP="00326429">
      <w:pPr>
        <w:pStyle w:val="NoSpacing"/>
        <w:jc w:val="both"/>
        <w:rPr>
          <w:rFonts w:cstheme="minorHAnsi"/>
        </w:rPr>
      </w:pPr>
    </w:p>
    <w:p w14:paraId="1529DBB4" w14:textId="56A30C9D" w:rsidR="00F81D8F" w:rsidRPr="0013571A" w:rsidRDefault="00581C7D" w:rsidP="00326429">
      <w:pPr>
        <w:pStyle w:val="NoSpacing"/>
        <w:jc w:val="both"/>
        <w:rPr>
          <w:rFonts w:cstheme="minorHAnsi"/>
        </w:rPr>
      </w:pPr>
      <w:r>
        <w:rPr>
          <w:rFonts w:cstheme="minorHAnsi"/>
        </w:rPr>
        <w:t>2</w:t>
      </w:r>
      <w:r w:rsidR="00F81D8F" w:rsidRPr="0013571A">
        <w:rPr>
          <w:rFonts w:cstheme="minorHAnsi"/>
        </w:rPr>
        <w:t>) Line chart as “Coverage ratio trend  (2016</w:t>
      </w:r>
      <w:r w:rsidR="007047E2" w:rsidRPr="0013571A">
        <w:rPr>
          <w:rFonts w:cstheme="minorHAnsi"/>
        </w:rPr>
        <w:t xml:space="preserve"> - </w:t>
      </w:r>
      <w:r w:rsidR="00F81D8F" w:rsidRPr="0013571A">
        <w:rPr>
          <w:rFonts w:cstheme="minorHAnsi"/>
        </w:rPr>
        <w:t xml:space="preserve">2025)” </w:t>
      </w:r>
    </w:p>
    <w:p w14:paraId="43C4E331" w14:textId="77777777" w:rsidR="004B462E" w:rsidRPr="0013571A" w:rsidRDefault="004B462E" w:rsidP="00326429">
      <w:pPr>
        <w:pStyle w:val="NoSpacing"/>
        <w:jc w:val="both"/>
        <w:rPr>
          <w:rFonts w:cstheme="minorHAnsi"/>
        </w:rPr>
      </w:pPr>
      <w:r w:rsidRPr="0013571A">
        <w:rPr>
          <w:rFonts w:cstheme="minorHAnsi"/>
        </w:rPr>
        <w:t>The Coverage Ratio remains consistently high, ranging between 60% and 69% throughout the decade.</w:t>
      </w:r>
    </w:p>
    <w:p w14:paraId="734C9CA6" w14:textId="77777777" w:rsidR="004B462E" w:rsidRPr="0013571A" w:rsidRDefault="004B462E" w:rsidP="00326429">
      <w:pPr>
        <w:pStyle w:val="NoSpacing"/>
        <w:jc w:val="both"/>
        <w:rPr>
          <w:rFonts w:cstheme="minorHAnsi"/>
        </w:rPr>
      </w:pPr>
      <w:r w:rsidRPr="0013571A">
        <w:rPr>
          <w:rFonts w:cstheme="minorHAnsi"/>
        </w:rPr>
        <w:t>The peak occurs in 2020 (69.21%), reflecting heightened provisioning during the pandemic. Afterward, the ratio stabilizes around 61% in 2025.</w:t>
      </w:r>
    </w:p>
    <w:p w14:paraId="2515CBA2" w14:textId="4827CAE3" w:rsidR="00F81D8F" w:rsidRPr="0013571A" w:rsidRDefault="004B462E" w:rsidP="00326429">
      <w:pPr>
        <w:pStyle w:val="NoSpacing"/>
        <w:jc w:val="both"/>
        <w:rPr>
          <w:rFonts w:cstheme="minorHAnsi"/>
        </w:rPr>
      </w:pPr>
      <w:r w:rsidRPr="0013571A">
        <w:rPr>
          <w:rFonts w:cstheme="minorHAnsi"/>
        </w:rPr>
        <w:t>The bank demonstrates robust provisioning practices, maintaining coverage levels that comfortably exceed typical regulatory expectations and ensuring strong loss</w:t>
      </w:r>
      <w:r w:rsidRPr="0013571A">
        <w:rPr>
          <w:rFonts w:ascii="Cambria Math" w:hAnsi="Cambria Math" w:cs="Cambria Math"/>
        </w:rPr>
        <w:t>‑</w:t>
      </w:r>
      <w:r w:rsidRPr="0013571A">
        <w:rPr>
          <w:rFonts w:cstheme="minorHAnsi"/>
        </w:rPr>
        <w:t>absorption capacity.</w:t>
      </w:r>
    </w:p>
    <w:p w14:paraId="5366A6E7" w14:textId="77777777" w:rsidR="00F81D8F" w:rsidRPr="0013571A" w:rsidRDefault="00F81D8F" w:rsidP="00326429">
      <w:pPr>
        <w:pStyle w:val="NoSpacing"/>
        <w:jc w:val="both"/>
        <w:rPr>
          <w:rFonts w:cstheme="minorHAnsi"/>
        </w:rPr>
      </w:pPr>
    </w:p>
    <w:p w14:paraId="5A2C1752" w14:textId="2C08924E" w:rsidR="00F81D8F" w:rsidRPr="0013571A" w:rsidRDefault="00581C7D" w:rsidP="00326429">
      <w:pPr>
        <w:pStyle w:val="NoSpacing"/>
        <w:jc w:val="both"/>
        <w:rPr>
          <w:rFonts w:cstheme="minorHAnsi"/>
        </w:rPr>
      </w:pPr>
      <w:r>
        <w:rPr>
          <w:rFonts w:cstheme="minorHAnsi"/>
        </w:rPr>
        <w:t>3</w:t>
      </w:r>
      <w:r w:rsidR="00F81D8F" w:rsidRPr="0013571A">
        <w:rPr>
          <w:rFonts w:cstheme="minorHAnsi"/>
        </w:rPr>
        <w:t xml:space="preserve">) Clustered bar chart as “Gross Loans vs. Allowance for Loan Losses (2016 - 2025)” </w:t>
      </w:r>
    </w:p>
    <w:p w14:paraId="5145E1A4" w14:textId="77777777" w:rsidR="004B462E" w:rsidRPr="0013571A" w:rsidRDefault="004B462E" w:rsidP="00326429">
      <w:pPr>
        <w:pStyle w:val="NoSpacing"/>
        <w:jc w:val="both"/>
        <w:rPr>
          <w:rFonts w:cstheme="minorHAnsi"/>
        </w:rPr>
      </w:pPr>
      <w:r w:rsidRPr="0013571A">
        <w:rPr>
          <w:rFonts w:cstheme="minorHAnsi"/>
        </w:rPr>
        <w:t>Gross Loans increase from 419bn in 2016 to 455bn in 2025, with a peak of 505bn in 2022.</w:t>
      </w:r>
    </w:p>
    <w:p w14:paraId="00EE37FC" w14:textId="73B2719B" w:rsidR="004B462E" w:rsidRPr="0013571A" w:rsidRDefault="004B462E" w:rsidP="00326429">
      <w:pPr>
        <w:pStyle w:val="NoSpacing"/>
        <w:jc w:val="both"/>
        <w:rPr>
          <w:rFonts w:cstheme="minorHAnsi"/>
        </w:rPr>
      </w:pPr>
      <w:r w:rsidRPr="0013571A">
        <w:rPr>
          <w:rFonts w:cstheme="minorHAnsi"/>
        </w:rPr>
        <w:t xml:space="preserve">Meanwhile, the Allowance for Loan Losses decreases steadily from </w:t>
      </w:r>
      <w:r w:rsidR="0013571A" w:rsidRPr="0013571A">
        <w:rPr>
          <w:rFonts w:cstheme="minorHAnsi"/>
        </w:rPr>
        <w:t>-</w:t>
      </w:r>
      <w:r w:rsidRPr="0013571A">
        <w:rPr>
          <w:rFonts w:cstheme="minorHAnsi"/>
        </w:rPr>
        <w:t xml:space="preserve">14.85bn in 2016 to </w:t>
      </w:r>
      <w:r w:rsidR="0013571A" w:rsidRPr="0013571A">
        <w:rPr>
          <w:rFonts w:cstheme="minorHAnsi"/>
        </w:rPr>
        <w:t>-</w:t>
      </w:r>
      <w:r w:rsidRPr="0013571A">
        <w:rPr>
          <w:rFonts w:cstheme="minorHAnsi"/>
        </w:rPr>
        <w:t>8.44bn in 2025.</w:t>
      </w:r>
    </w:p>
    <w:p w14:paraId="1B95DC0B" w14:textId="3B1D67DB" w:rsidR="00F81D8F" w:rsidRPr="0013571A" w:rsidRDefault="004B462E" w:rsidP="00326429">
      <w:pPr>
        <w:pStyle w:val="NoSpacing"/>
        <w:jc w:val="both"/>
        <w:rPr>
          <w:rFonts w:cstheme="minorHAnsi"/>
        </w:rPr>
      </w:pPr>
      <w:r w:rsidRPr="0013571A">
        <w:rPr>
          <w:rFonts w:cstheme="minorHAnsi"/>
        </w:rPr>
        <w:t>The simultaneous growth in loan volumes and decline in provisions reflects improving credit quality and lower expected losses. The provisioning level remains adequate given the low NPL ratio, indicating effective risk management and stable borrower performance.</w:t>
      </w:r>
    </w:p>
    <w:p w14:paraId="2AEFC1B0" w14:textId="77777777" w:rsidR="003667E6" w:rsidRPr="0013571A" w:rsidRDefault="003667E6" w:rsidP="00326429">
      <w:pPr>
        <w:pStyle w:val="NoSpacing"/>
        <w:jc w:val="both"/>
        <w:rPr>
          <w:rFonts w:cstheme="minorHAnsi"/>
        </w:rPr>
      </w:pPr>
    </w:p>
    <w:p w14:paraId="16237D7F" w14:textId="77777777" w:rsidR="004B462E" w:rsidRPr="0013571A" w:rsidRDefault="004B462E" w:rsidP="00326429">
      <w:pPr>
        <w:pStyle w:val="NoSpacing"/>
        <w:jc w:val="both"/>
        <w:rPr>
          <w:rFonts w:cstheme="minorHAnsi"/>
        </w:rPr>
      </w:pPr>
    </w:p>
    <w:p w14:paraId="1D86ADED" w14:textId="77777777" w:rsidR="007047E2" w:rsidRPr="0013571A" w:rsidRDefault="007047E2" w:rsidP="00326429">
      <w:pPr>
        <w:jc w:val="both"/>
        <w:rPr>
          <w:rFonts w:cstheme="minorHAnsi"/>
          <w:b/>
          <w:bCs/>
        </w:rPr>
      </w:pPr>
      <w:r w:rsidRPr="0013571A">
        <w:rPr>
          <w:rFonts w:cstheme="minorHAnsi"/>
          <w:b/>
          <w:bCs/>
        </w:rPr>
        <w:br w:type="page"/>
      </w:r>
    </w:p>
    <w:p w14:paraId="780B9DF4" w14:textId="221F1573" w:rsidR="00F81D8F" w:rsidRPr="0013571A" w:rsidRDefault="00F81D8F" w:rsidP="00326429">
      <w:pPr>
        <w:pStyle w:val="NoSpacing"/>
        <w:jc w:val="both"/>
        <w:rPr>
          <w:rFonts w:cstheme="minorHAnsi"/>
          <w:b/>
          <w:bCs/>
        </w:rPr>
      </w:pPr>
      <w:r w:rsidRPr="0013571A">
        <w:rPr>
          <w:rFonts w:cstheme="minorHAnsi"/>
          <w:b/>
          <w:bCs/>
        </w:rPr>
        <w:lastRenderedPageBreak/>
        <w:t>Liquidity &amp; Funding - Page 5 from the Dashboard</w:t>
      </w:r>
    </w:p>
    <w:p w14:paraId="17FD6EEF" w14:textId="77777777" w:rsidR="00E91007" w:rsidRPr="0013571A" w:rsidRDefault="00E91007" w:rsidP="00326429">
      <w:pPr>
        <w:pStyle w:val="NoSpacing"/>
        <w:jc w:val="both"/>
        <w:rPr>
          <w:rFonts w:cstheme="minorHAnsi"/>
        </w:rPr>
      </w:pPr>
    </w:p>
    <w:p w14:paraId="0F7AC803" w14:textId="321A1DCB" w:rsidR="00E91007" w:rsidRPr="0013571A" w:rsidRDefault="00E91007" w:rsidP="00E91007">
      <w:pPr>
        <w:pStyle w:val="NoSpacing"/>
        <w:jc w:val="both"/>
        <w:rPr>
          <w:rFonts w:cstheme="minorHAnsi"/>
        </w:rPr>
      </w:pPr>
      <w:r w:rsidRPr="0013571A">
        <w:rPr>
          <w:rFonts w:cstheme="minorHAnsi"/>
        </w:rPr>
        <w:t>1) Overall narrative for the fifth page of the dashboard:</w:t>
      </w:r>
    </w:p>
    <w:p w14:paraId="7457CFD6" w14:textId="6824C0D8" w:rsidR="00E91007" w:rsidRPr="0013571A" w:rsidRDefault="00E91007" w:rsidP="00E91007">
      <w:pPr>
        <w:pStyle w:val="NoSpacing"/>
        <w:jc w:val="both"/>
        <w:rPr>
          <w:rFonts w:cstheme="minorHAnsi"/>
        </w:rPr>
      </w:pPr>
      <w:r w:rsidRPr="0013571A">
        <w:rPr>
          <w:rFonts w:cstheme="minorHAnsi"/>
        </w:rPr>
        <w:t>The bank’s liquidity and funding profile over 2016</w:t>
      </w:r>
      <w:r w:rsidR="0013571A" w:rsidRPr="0013571A">
        <w:rPr>
          <w:rFonts w:cstheme="minorHAnsi"/>
        </w:rPr>
        <w:t>-</w:t>
      </w:r>
      <w:r w:rsidRPr="0013571A">
        <w:rPr>
          <w:rFonts w:cstheme="minorHAnsi"/>
        </w:rPr>
        <w:t>2025 reflects a transition from a period of exceptional liquidity strength to a more normalized environment. Cash &amp; Equivalents rise sharply during 2020</w:t>
      </w:r>
      <w:r w:rsidR="0013571A" w:rsidRPr="0013571A">
        <w:rPr>
          <w:rFonts w:cstheme="minorHAnsi"/>
        </w:rPr>
        <w:t>-</w:t>
      </w:r>
      <w:r w:rsidRPr="0013571A">
        <w:rPr>
          <w:rFonts w:cstheme="minorHAnsi"/>
        </w:rPr>
        <w:t>2023, driven by pandemic</w:t>
      </w:r>
      <w:r w:rsidRPr="0013571A">
        <w:rPr>
          <w:rFonts w:ascii="Cambria Math" w:hAnsi="Cambria Math" w:cs="Cambria Math"/>
        </w:rPr>
        <w:t>‑</w:t>
      </w:r>
      <w:r w:rsidRPr="0013571A">
        <w:rPr>
          <w:rFonts w:cstheme="minorHAnsi"/>
        </w:rPr>
        <w:t>related liquidity inflows and conservative balance sheet management, but decline significantly in 2024</w:t>
      </w:r>
      <w:r w:rsidR="0013571A" w:rsidRPr="0013571A">
        <w:rPr>
          <w:rFonts w:cstheme="minorHAnsi"/>
        </w:rPr>
        <w:t>-</w:t>
      </w:r>
      <w:r w:rsidRPr="0013571A">
        <w:rPr>
          <w:rFonts w:cstheme="minorHAnsi"/>
        </w:rPr>
        <w:t>2025 as operating and investing cash flows turn negative. This results in a lower liquidity buffer, though still within a comfortable range relative to total assets.</w:t>
      </w:r>
    </w:p>
    <w:p w14:paraId="67CD4026" w14:textId="77777777" w:rsidR="00E91007" w:rsidRPr="0013571A" w:rsidRDefault="00E91007" w:rsidP="00E91007">
      <w:pPr>
        <w:pStyle w:val="NoSpacing"/>
        <w:jc w:val="both"/>
        <w:rPr>
          <w:rFonts w:cstheme="minorHAnsi"/>
        </w:rPr>
      </w:pPr>
      <w:r w:rsidRPr="0013571A">
        <w:rPr>
          <w:rFonts w:cstheme="minorHAnsi"/>
        </w:rPr>
        <w:t>Funding remains firmly anchored in customer deposits, which continue to represent the core liability component. After strong growth through 2022, deposits contract moderately in the following years, consistent with the broader reduction in liquidity across the system. Short</w:t>
      </w:r>
      <w:r w:rsidRPr="0013571A">
        <w:rPr>
          <w:rFonts w:ascii="Cambria Math" w:hAnsi="Cambria Math" w:cs="Cambria Math"/>
        </w:rPr>
        <w:t>‑</w:t>
      </w:r>
      <w:r w:rsidRPr="0013571A">
        <w:rPr>
          <w:rFonts w:cstheme="minorHAnsi"/>
        </w:rPr>
        <w:t>term borrowings decline steadily over the decade, reducing reliance on wholesale markets, while long</w:t>
      </w:r>
      <w:r w:rsidRPr="0013571A">
        <w:rPr>
          <w:rFonts w:ascii="Cambria Math" w:hAnsi="Cambria Math" w:cs="Cambria Math"/>
        </w:rPr>
        <w:t>‑</w:t>
      </w:r>
      <w:r w:rsidRPr="0013571A">
        <w:rPr>
          <w:rFonts w:cstheme="minorHAnsi"/>
        </w:rPr>
        <w:t>term debt increases, contributing to a more balanced funding maturity profile.</w:t>
      </w:r>
    </w:p>
    <w:p w14:paraId="4822D1F0" w14:textId="77777777" w:rsidR="00E91007" w:rsidRPr="0013571A" w:rsidRDefault="00E91007" w:rsidP="00E91007">
      <w:pPr>
        <w:pStyle w:val="NoSpacing"/>
        <w:jc w:val="both"/>
        <w:rPr>
          <w:rFonts w:cstheme="minorHAnsi"/>
        </w:rPr>
      </w:pPr>
      <w:r w:rsidRPr="0013571A">
        <w:rPr>
          <w:rFonts w:cstheme="minorHAnsi"/>
        </w:rPr>
        <w:t>The relationship between Operating Cash Flow and Net Income highlights volatility in cash generation, driven primarily by changes in operating assets rather than profitability. Despite strong earnings in 2025, negative OCF and ICF lead to a substantial reduction in cash balances.</w:t>
      </w:r>
    </w:p>
    <w:p w14:paraId="7ADCBFBF" w14:textId="77777777" w:rsidR="00E91007" w:rsidRPr="0013571A" w:rsidRDefault="00E91007" w:rsidP="00E91007">
      <w:pPr>
        <w:pStyle w:val="NoSpacing"/>
        <w:jc w:val="both"/>
        <w:rPr>
          <w:rFonts w:cstheme="minorHAnsi"/>
        </w:rPr>
      </w:pPr>
      <w:r w:rsidRPr="0013571A">
        <w:rPr>
          <w:rFonts w:cstheme="minorHAnsi"/>
        </w:rPr>
        <w:t>Overall, Page 5 shows a bank that remains liquid, deposit</w:t>
      </w:r>
      <w:r w:rsidRPr="0013571A">
        <w:rPr>
          <w:rFonts w:ascii="Cambria Math" w:hAnsi="Cambria Math" w:cs="Cambria Math"/>
        </w:rPr>
        <w:t>‑</w:t>
      </w:r>
      <w:r w:rsidRPr="0013571A">
        <w:rPr>
          <w:rFonts w:cstheme="minorHAnsi"/>
        </w:rPr>
        <w:t>funded, and conservatively positioned, but experiencing a normalization of liquidity buffers after several years of unusually strong cash accumulation.</w:t>
      </w:r>
    </w:p>
    <w:p w14:paraId="70B7859C" w14:textId="77777777" w:rsidR="00F81D8F" w:rsidRPr="0013571A" w:rsidRDefault="00F81D8F" w:rsidP="00326429">
      <w:pPr>
        <w:pStyle w:val="NoSpacing"/>
        <w:jc w:val="both"/>
        <w:rPr>
          <w:rFonts w:cstheme="minorHAnsi"/>
        </w:rPr>
      </w:pPr>
    </w:p>
    <w:p w14:paraId="147800F0" w14:textId="275F1E07" w:rsidR="00F81D8F" w:rsidRPr="0013571A" w:rsidRDefault="00E91007" w:rsidP="00326429">
      <w:pPr>
        <w:pStyle w:val="NoSpacing"/>
        <w:jc w:val="both"/>
        <w:rPr>
          <w:rFonts w:cstheme="minorHAnsi"/>
        </w:rPr>
      </w:pPr>
      <w:r w:rsidRPr="0013571A">
        <w:rPr>
          <w:rFonts w:cstheme="minorHAnsi"/>
        </w:rPr>
        <w:t>2</w:t>
      </w:r>
      <w:r w:rsidR="00F81D8F" w:rsidRPr="0013571A">
        <w:rPr>
          <w:rFonts w:cstheme="minorHAnsi"/>
        </w:rPr>
        <w:t xml:space="preserve">) </w:t>
      </w:r>
      <w:r w:rsidR="007047E2" w:rsidRPr="0013571A">
        <w:rPr>
          <w:rFonts w:cstheme="minorHAnsi"/>
        </w:rPr>
        <w:t>“</w:t>
      </w:r>
      <w:r w:rsidR="00F81D8F" w:rsidRPr="0013571A">
        <w:rPr>
          <w:rFonts w:cstheme="minorHAnsi"/>
        </w:rPr>
        <w:t xml:space="preserve">Cash Flow Waterfall </w:t>
      </w:r>
      <w:r w:rsidR="007047E2" w:rsidRPr="0013571A">
        <w:rPr>
          <w:rFonts w:cstheme="minorHAnsi"/>
        </w:rPr>
        <w:t>(</w:t>
      </w:r>
      <w:r w:rsidR="00F81D8F" w:rsidRPr="0013571A">
        <w:rPr>
          <w:rFonts w:cstheme="minorHAnsi"/>
        </w:rPr>
        <w:t>2025</w:t>
      </w:r>
      <w:r w:rsidR="007047E2" w:rsidRPr="0013571A">
        <w:rPr>
          <w:rFonts w:cstheme="minorHAnsi"/>
        </w:rPr>
        <w:t>)”</w:t>
      </w:r>
      <w:r w:rsidR="00F81D8F" w:rsidRPr="0013571A">
        <w:rPr>
          <w:rFonts w:cstheme="minorHAnsi"/>
        </w:rPr>
        <w:t xml:space="preserve"> </w:t>
      </w:r>
    </w:p>
    <w:p w14:paraId="5BE994D5" w14:textId="77777777" w:rsidR="004B462E" w:rsidRPr="0013571A" w:rsidRDefault="004B462E" w:rsidP="00326429">
      <w:pPr>
        <w:pStyle w:val="NoSpacing"/>
        <w:jc w:val="both"/>
        <w:rPr>
          <w:rFonts w:cstheme="minorHAnsi"/>
        </w:rPr>
      </w:pPr>
      <w:r w:rsidRPr="0013571A">
        <w:rPr>
          <w:rFonts w:cstheme="minorHAnsi"/>
        </w:rPr>
        <w:t>The bank experiences a significant cash outflow in 2025, driven primarily by negative operating and investing cash flows.</w:t>
      </w:r>
    </w:p>
    <w:p w14:paraId="2AFF9821" w14:textId="587374BB" w:rsidR="004B462E" w:rsidRPr="0013571A" w:rsidRDefault="004B462E" w:rsidP="00326429">
      <w:pPr>
        <w:pStyle w:val="NoSpacing"/>
        <w:jc w:val="both"/>
        <w:rPr>
          <w:rFonts w:cstheme="minorHAnsi"/>
        </w:rPr>
      </w:pPr>
      <w:r w:rsidRPr="0013571A">
        <w:rPr>
          <w:rFonts w:cstheme="minorHAnsi"/>
        </w:rPr>
        <w:t>Despite strong profitability (Net Income = 6bn), the large reduction in operating assets (</w:t>
      </w:r>
      <w:r w:rsidR="0013571A" w:rsidRPr="0013571A">
        <w:rPr>
          <w:rFonts w:cstheme="minorHAnsi"/>
        </w:rPr>
        <w:t>-</w:t>
      </w:r>
      <w:r w:rsidRPr="0013571A">
        <w:rPr>
          <w:rFonts w:cstheme="minorHAnsi"/>
        </w:rPr>
        <w:t>39.95bn) pushes OCF into negative territory.</w:t>
      </w:r>
    </w:p>
    <w:p w14:paraId="2A7C0148" w14:textId="77777777" w:rsidR="004B462E" w:rsidRPr="0013571A" w:rsidRDefault="004B462E" w:rsidP="00326429">
      <w:pPr>
        <w:pStyle w:val="NoSpacing"/>
        <w:jc w:val="both"/>
        <w:rPr>
          <w:rFonts w:cstheme="minorHAnsi"/>
        </w:rPr>
      </w:pPr>
      <w:r w:rsidRPr="0013571A">
        <w:rPr>
          <w:rFonts w:cstheme="minorHAnsi"/>
        </w:rPr>
        <w:t>Investing outflows remain structurally negative, reflecting ongoing investment activity.</w:t>
      </w:r>
    </w:p>
    <w:p w14:paraId="5AC8AFD5" w14:textId="7249F215" w:rsidR="00F81D8F" w:rsidRPr="0013571A" w:rsidRDefault="004B462E" w:rsidP="00326429">
      <w:pPr>
        <w:pStyle w:val="NoSpacing"/>
        <w:jc w:val="both"/>
        <w:rPr>
          <w:rFonts w:cstheme="minorHAnsi"/>
        </w:rPr>
      </w:pPr>
      <w:r w:rsidRPr="0013571A">
        <w:rPr>
          <w:rFonts w:cstheme="minorHAnsi"/>
        </w:rPr>
        <w:t>The combined effect results in a substantial decline in cash balances, consistent with the drop in Cash &amp; Equivalents from 246bn (2024) to 178bn (2025).</w:t>
      </w:r>
    </w:p>
    <w:p w14:paraId="5766999C" w14:textId="77777777" w:rsidR="007047E2" w:rsidRPr="0013571A" w:rsidRDefault="007047E2" w:rsidP="00326429">
      <w:pPr>
        <w:pStyle w:val="NoSpacing"/>
        <w:jc w:val="both"/>
        <w:rPr>
          <w:rFonts w:cstheme="minorHAnsi"/>
        </w:rPr>
      </w:pPr>
    </w:p>
    <w:p w14:paraId="600E6481" w14:textId="018B7B06" w:rsidR="00F81D8F" w:rsidRPr="0013571A" w:rsidRDefault="00E91007" w:rsidP="00326429">
      <w:pPr>
        <w:pStyle w:val="NoSpacing"/>
        <w:jc w:val="both"/>
        <w:rPr>
          <w:rFonts w:cstheme="minorHAnsi"/>
        </w:rPr>
      </w:pPr>
      <w:r w:rsidRPr="0013571A">
        <w:rPr>
          <w:rFonts w:cstheme="minorHAnsi"/>
        </w:rPr>
        <w:t>3</w:t>
      </w:r>
      <w:r w:rsidR="00F81D8F" w:rsidRPr="0013571A">
        <w:rPr>
          <w:rFonts w:cstheme="minorHAnsi"/>
        </w:rPr>
        <w:t xml:space="preserve">) Line chart as “Operating Cash Flow vs. Net Income (2016 - 2025)” </w:t>
      </w:r>
    </w:p>
    <w:p w14:paraId="39B825DE" w14:textId="77777777" w:rsidR="004B462E" w:rsidRPr="0013571A" w:rsidRDefault="004B462E" w:rsidP="00326429">
      <w:pPr>
        <w:pStyle w:val="NoSpacing"/>
        <w:jc w:val="both"/>
        <w:rPr>
          <w:rFonts w:cstheme="minorHAnsi"/>
        </w:rPr>
      </w:pPr>
      <w:r w:rsidRPr="0013571A">
        <w:rPr>
          <w:rFonts w:cstheme="minorHAnsi"/>
        </w:rPr>
        <w:t>The relationship between OCF and Net Income shows high volatility in cash generation, contrasting with relatively stable profitability.</w:t>
      </w:r>
    </w:p>
    <w:p w14:paraId="313AD71A" w14:textId="77777777" w:rsidR="004B462E" w:rsidRPr="0013571A" w:rsidRDefault="004B462E" w:rsidP="00326429">
      <w:pPr>
        <w:pStyle w:val="NoSpacing"/>
        <w:jc w:val="both"/>
        <w:rPr>
          <w:rFonts w:cstheme="minorHAnsi"/>
        </w:rPr>
      </w:pPr>
      <w:r w:rsidRPr="0013571A">
        <w:rPr>
          <w:rFonts w:cstheme="minorHAnsi"/>
        </w:rPr>
        <w:t>Key observations:</w:t>
      </w:r>
    </w:p>
    <w:p w14:paraId="395ADE7B" w14:textId="473EFF64" w:rsidR="004B462E" w:rsidRPr="0013571A" w:rsidRDefault="004B462E" w:rsidP="0013571A">
      <w:pPr>
        <w:pStyle w:val="NoSpacing"/>
        <w:numPr>
          <w:ilvl w:val="0"/>
          <w:numId w:val="18"/>
        </w:numPr>
        <w:ind w:left="567" w:hanging="283"/>
        <w:jc w:val="both"/>
        <w:rPr>
          <w:rFonts w:cstheme="minorHAnsi"/>
        </w:rPr>
      </w:pPr>
      <w:r w:rsidRPr="0013571A">
        <w:rPr>
          <w:rFonts w:cstheme="minorHAnsi"/>
        </w:rPr>
        <w:t>2020: OCF spikes to 80.79bn despite negative Net Income (</w:t>
      </w:r>
      <w:r w:rsidR="0013571A" w:rsidRPr="0013571A">
        <w:rPr>
          <w:rFonts w:cstheme="minorHAnsi"/>
        </w:rPr>
        <w:t>-</w:t>
      </w:r>
      <w:r w:rsidRPr="0013571A">
        <w:rPr>
          <w:rFonts w:cstheme="minorHAnsi"/>
        </w:rPr>
        <w:t>0.26bn).</w:t>
      </w:r>
    </w:p>
    <w:p w14:paraId="5A2FFF11" w14:textId="7C25B7F6" w:rsidR="004B462E" w:rsidRPr="0013571A" w:rsidRDefault="004B462E" w:rsidP="0013571A">
      <w:pPr>
        <w:pStyle w:val="NoSpacing"/>
        <w:numPr>
          <w:ilvl w:val="0"/>
          <w:numId w:val="18"/>
        </w:numPr>
        <w:ind w:left="567" w:hanging="283"/>
        <w:jc w:val="both"/>
        <w:rPr>
          <w:rFonts w:cstheme="minorHAnsi"/>
        </w:rPr>
      </w:pPr>
      <w:r w:rsidRPr="0013571A">
        <w:rPr>
          <w:rFonts w:cstheme="minorHAnsi"/>
        </w:rPr>
        <w:t>2021</w:t>
      </w:r>
      <w:r w:rsidR="0013571A" w:rsidRPr="0013571A">
        <w:rPr>
          <w:rFonts w:cstheme="minorHAnsi"/>
        </w:rPr>
        <w:t>-</w:t>
      </w:r>
      <w:r w:rsidRPr="0013571A">
        <w:rPr>
          <w:rFonts w:cstheme="minorHAnsi"/>
        </w:rPr>
        <w:t>2023: OCF remains strong (20</w:t>
      </w:r>
      <w:r w:rsidR="0013571A" w:rsidRPr="0013571A">
        <w:rPr>
          <w:rFonts w:cstheme="minorHAnsi"/>
        </w:rPr>
        <w:t>-</w:t>
      </w:r>
      <w:r w:rsidRPr="0013571A">
        <w:rPr>
          <w:rFonts w:cstheme="minorHAnsi"/>
        </w:rPr>
        <w:t>39bn), aligned with profitable years.</w:t>
      </w:r>
    </w:p>
    <w:p w14:paraId="3A25DFD5" w14:textId="7A6E060D" w:rsidR="004B462E" w:rsidRPr="0013571A" w:rsidRDefault="004B462E" w:rsidP="0013571A">
      <w:pPr>
        <w:pStyle w:val="NoSpacing"/>
        <w:numPr>
          <w:ilvl w:val="0"/>
          <w:numId w:val="18"/>
        </w:numPr>
        <w:ind w:left="567" w:hanging="283"/>
        <w:jc w:val="both"/>
        <w:rPr>
          <w:rFonts w:cstheme="minorHAnsi"/>
        </w:rPr>
      </w:pPr>
      <w:r w:rsidRPr="0013571A">
        <w:rPr>
          <w:rFonts w:cstheme="minorHAnsi"/>
        </w:rPr>
        <w:t>2024</w:t>
      </w:r>
      <w:r w:rsidR="0013571A" w:rsidRPr="0013571A">
        <w:rPr>
          <w:rFonts w:cstheme="minorHAnsi"/>
        </w:rPr>
        <w:t>-</w:t>
      </w:r>
      <w:r w:rsidRPr="0013571A">
        <w:rPr>
          <w:rFonts w:cstheme="minorHAnsi"/>
        </w:rPr>
        <w:t>2025: OCF turns negative (</w:t>
      </w:r>
      <w:r w:rsidR="0013571A" w:rsidRPr="0013571A">
        <w:rPr>
          <w:rFonts w:cstheme="minorHAnsi"/>
        </w:rPr>
        <w:t>-</w:t>
      </w:r>
      <w:r w:rsidRPr="0013571A">
        <w:rPr>
          <w:rFonts w:cstheme="minorHAnsi"/>
        </w:rPr>
        <w:t xml:space="preserve">10.1bn and </w:t>
      </w:r>
      <w:r w:rsidR="0013571A" w:rsidRPr="0013571A">
        <w:rPr>
          <w:rFonts w:cstheme="minorHAnsi"/>
        </w:rPr>
        <w:t>-</w:t>
      </w:r>
      <w:r w:rsidRPr="0013571A">
        <w:rPr>
          <w:rFonts w:cstheme="minorHAnsi"/>
        </w:rPr>
        <w:t>19.65bn), while Net Income increases to 6bn.</w:t>
      </w:r>
    </w:p>
    <w:p w14:paraId="5E6C15F2" w14:textId="5F4F4775" w:rsidR="00F81D8F" w:rsidRPr="0013571A" w:rsidRDefault="004B462E" w:rsidP="00326429">
      <w:pPr>
        <w:pStyle w:val="NoSpacing"/>
        <w:jc w:val="both"/>
        <w:rPr>
          <w:rFonts w:cstheme="minorHAnsi"/>
        </w:rPr>
      </w:pPr>
      <w:r w:rsidRPr="0013571A">
        <w:rPr>
          <w:rFonts w:cstheme="minorHAnsi"/>
        </w:rPr>
        <w:t>The divergence between OCF and Net Income in the last two years indicates working capital pressures and large swings in operating assets, rather than deterioration in profitability.</w:t>
      </w:r>
    </w:p>
    <w:p w14:paraId="60A760E3" w14:textId="77777777" w:rsidR="007047E2" w:rsidRPr="0013571A" w:rsidRDefault="007047E2" w:rsidP="00326429">
      <w:pPr>
        <w:pStyle w:val="NoSpacing"/>
        <w:jc w:val="both"/>
        <w:rPr>
          <w:rFonts w:cstheme="minorHAnsi"/>
        </w:rPr>
      </w:pPr>
    </w:p>
    <w:p w14:paraId="7392D4EE" w14:textId="675EBAE1" w:rsidR="00F81D8F" w:rsidRPr="0013571A" w:rsidRDefault="00E91007" w:rsidP="00326429">
      <w:pPr>
        <w:pStyle w:val="NoSpacing"/>
        <w:jc w:val="both"/>
        <w:rPr>
          <w:rFonts w:cstheme="minorHAnsi"/>
        </w:rPr>
      </w:pPr>
      <w:r w:rsidRPr="0013571A">
        <w:rPr>
          <w:rFonts w:cstheme="minorHAnsi"/>
        </w:rPr>
        <w:t>4</w:t>
      </w:r>
      <w:r w:rsidR="00F81D8F" w:rsidRPr="0013571A">
        <w:rPr>
          <w:rFonts w:cstheme="minorHAnsi"/>
        </w:rPr>
        <w:t>)</w:t>
      </w:r>
      <w:r w:rsidR="007047E2" w:rsidRPr="0013571A">
        <w:rPr>
          <w:rFonts w:cstheme="minorHAnsi"/>
        </w:rPr>
        <w:t xml:space="preserve"> </w:t>
      </w:r>
      <w:r w:rsidR="00F81D8F" w:rsidRPr="0013571A">
        <w:rPr>
          <w:rFonts w:cstheme="minorHAnsi"/>
        </w:rPr>
        <w:t xml:space="preserve">Line chart as “Liquidity Buffer Ratio (2016 </w:t>
      </w:r>
      <w:r w:rsidR="007047E2" w:rsidRPr="0013571A">
        <w:rPr>
          <w:rFonts w:cstheme="minorHAnsi"/>
        </w:rPr>
        <w:t xml:space="preserve">- </w:t>
      </w:r>
      <w:r w:rsidR="00F81D8F" w:rsidRPr="0013571A">
        <w:rPr>
          <w:rFonts w:cstheme="minorHAnsi"/>
        </w:rPr>
        <w:t xml:space="preserve">2025)” </w:t>
      </w:r>
    </w:p>
    <w:p w14:paraId="7746F6AA" w14:textId="79081C1F" w:rsidR="00C9565E" w:rsidRPr="0013571A" w:rsidRDefault="00C9565E" w:rsidP="00326429">
      <w:pPr>
        <w:pStyle w:val="NoSpacing"/>
        <w:jc w:val="both"/>
        <w:rPr>
          <w:rFonts w:cstheme="minorHAnsi"/>
        </w:rPr>
      </w:pPr>
      <w:r w:rsidRPr="0013571A">
        <w:rPr>
          <w:rFonts w:cstheme="minorHAnsi"/>
        </w:rPr>
        <w:t>Liquidity proxy rises sharply in 2020</w:t>
      </w:r>
      <w:r w:rsidR="0013571A" w:rsidRPr="0013571A">
        <w:rPr>
          <w:rFonts w:cstheme="minorHAnsi"/>
        </w:rPr>
        <w:t>-</w:t>
      </w:r>
      <w:r w:rsidRPr="0013571A">
        <w:rPr>
          <w:rFonts w:cstheme="minorHAnsi"/>
        </w:rPr>
        <w:t>2021 due to a surge in cash (194bn → 207bn). It peaks in 2023 (263bn cash). It declines to 178bn in 2025, reducing the liquidity buffer.</w:t>
      </w:r>
    </w:p>
    <w:p w14:paraId="62FF9D81" w14:textId="34C28601" w:rsidR="00F81D8F" w:rsidRPr="0013571A" w:rsidRDefault="00C9565E" w:rsidP="00326429">
      <w:pPr>
        <w:pStyle w:val="NoSpacing"/>
        <w:jc w:val="both"/>
        <w:rPr>
          <w:rFonts w:cstheme="minorHAnsi"/>
        </w:rPr>
      </w:pPr>
      <w:r w:rsidRPr="0013571A">
        <w:rPr>
          <w:rFonts w:cstheme="minorHAnsi"/>
        </w:rPr>
        <w:t>The bank’s liquidity position remains adequate but shows a downward trend after 2023, driven by cash outflows and stable asset levels.</w:t>
      </w:r>
    </w:p>
    <w:p w14:paraId="050A2BC3" w14:textId="77777777" w:rsidR="007047E2" w:rsidRPr="0013571A" w:rsidRDefault="007047E2" w:rsidP="00326429">
      <w:pPr>
        <w:pStyle w:val="NoSpacing"/>
        <w:jc w:val="both"/>
        <w:rPr>
          <w:rFonts w:cstheme="minorHAnsi"/>
        </w:rPr>
      </w:pPr>
    </w:p>
    <w:p w14:paraId="034A3F33" w14:textId="4387D377" w:rsidR="00F81D8F" w:rsidRPr="0013571A" w:rsidRDefault="00E91007" w:rsidP="00326429">
      <w:pPr>
        <w:pStyle w:val="NoSpacing"/>
        <w:jc w:val="both"/>
        <w:rPr>
          <w:rFonts w:cstheme="minorHAnsi"/>
        </w:rPr>
      </w:pPr>
      <w:r w:rsidRPr="0013571A">
        <w:rPr>
          <w:rFonts w:cstheme="minorHAnsi"/>
        </w:rPr>
        <w:t>5</w:t>
      </w:r>
      <w:r w:rsidR="00F81D8F" w:rsidRPr="0013571A">
        <w:rPr>
          <w:rFonts w:cstheme="minorHAnsi"/>
        </w:rPr>
        <w:t>)</w:t>
      </w:r>
      <w:r w:rsidR="007047E2" w:rsidRPr="0013571A">
        <w:rPr>
          <w:rFonts w:cstheme="minorHAnsi"/>
        </w:rPr>
        <w:t xml:space="preserve"> </w:t>
      </w:r>
      <w:r w:rsidR="00F81D8F" w:rsidRPr="0013571A">
        <w:rPr>
          <w:rFonts w:cstheme="minorHAnsi"/>
        </w:rPr>
        <w:t xml:space="preserve">Stacked area chart as “Funding Structure Trend (2016 - 2025)” </w:t>
      </w:r>
    </w:p>
    <w:p w14:paraId="4DA509CC" w14:textId="0321F626" w:rsidR="00C9565E" w:rsidRPr="0013571A" w:rsidRDefault="00C9565E" w:rsidP="00326429">
      <w:pPr>
        <w:pStyle w:val="NoSpacing"/>
        <w:jc w:val="both"/>
        <w:rPr>
          <w:rFonts w:cstheme="minorHAnsi"/>
        </w:rPr>
      </w:pPr>
      <w:r w:rsidRPr="0013571A">
        <w:rPr>
          <w:rFonts w:cstheme="minorHAnsi"/>
        </w:rPr>
        <w:lastRenderedPageBreak/>
        <w:t>Total Deposits grow strongly until 2022 (654bn), then decline to 609bn in 2025. Short</w:t>
      </w:r>
      <w:r w:rsidRPr="0013571A">
        <w:rPr>
          <w:rFonts w:ascii="Cambria Math" w:hAnsi="Cambria Math" w:cs="Cambria Math"/>
        </w:rPr>
        <w:t>‑</w:t>
      </w:r>
      <w:r w:rsidRPr="0013571A">
        <w:rPr>
          <w:rFonts w:cstheme="minorHAnsi"/>
        </w:rPr>
        <w:t>Term Borrowings fall from 235bn (2016) to 128bn (2025). Long</w:t>
      </w:r>
      <w:r w:rsidRPr="0013571A">
        <w:rPr>
          <w:rFonts w:ascii="Cambria Math" w:hAnsi="Cambria Math" w:cs="Cambria Math"/>
        </w:rPr>
        <w:t>‑</w:t>
      </w:r>
      <w:r w:rsidRPr="0013571A">
        <w:rPr>
          <w:rFonts w:cstheme="minorHAnsi"/>
        </w:rPr>
        <w:t>Term Debt recovers from the 2021 trough (41.76bn) to 103bn in 2025.</w:t>
      </w:r>
    </w:p>
    <w:p w14:paraId="52673921" w14:textId="0AB21267" w:rsidR="00F81D8F" w:rsidRPr="0013571A" w:rsidRDefault="00C9565E" w:rsidP="00326429">
      <w:pPr>
        <w:pStyle w:val="NoSpacing"/>
        <w:jc w:val="both"/>
        <w:rPr>
          <w:rFonts w:cstheme="minorHAnsi"/>
        </w:rPr>
      </w:pPr>
      <w:r w:rsidRPr="0013571A">
        <w:rPr>
          <w:rFonts w:cstheme="minorHAnsi"/>
        </w:rPr>
        <w:t>The bank maintains a deposit</w:t>
      </w:r>
      <w:r w:rsidRPr="0013571A">
        <w:rPr>
          <w:rFonts w:ascii="Cambria Math" w:hAnsi="Cambria Math" w:cs="Cambria Math"/>
        </w:rPr>
        <w:t>‑</w:t>
      </w:r>
      <w:r w:rsidRPr="0013571A">
        <w:rPr>
          <w:rFonts w:cstheme="minorHAnsi"/>
        </w:rPr>
        <w:t>anchored funding model, with reduced reliance on short</w:t>
      </w:r>
      <w:r w:rsidRPr="0013571A">
        <w:rPr>
          <w:rFonts w:ascii="Cambria Math" w:hAnsi="Cambria Math" w:cs="Cambria Math"/>
        </w:rPr>
        <w:t>‑</w:t>
      </w:r>
      <w:r w:rsidRPr="0013571A">
        <w:rPr>
          <w:rFonts w:cstheme="minorHAnsi"/>
        </w:rPr>
        <w:t>term wholesale funding and a more balanced maturity structure.</w:t>
      </w:r>
    </w:p>
    <w:p w14:paraId="3EAECD3E" w14:textId="77777777" w:rsidR="007047E2" w:rsidRPr="0013571A" w:rsidRDefault="007047E2" w:rsidP="00326429">
      <w:pPr>
        <w:pStyle w:val="NoSpacing"/>
        <w:jc w:val="both"/>
        <w:rPr>
          <w:rFonts w:cstheme="minorHAnsi"/>
        </w:rPr>
      </w:pPr>
    </w:p>
    <w:p w14:paraId="5D078A45" w14:textId="76DEB63F" w:rsidR="00F81D8F" w:rsidRPr="0013571A" w:rsidRDefault="00E91007" w:rsidP="00326429">
      <w:pPr>
        <w:pStyle w:val="NoSpacing"/>
        <w:jc w:val="both"/>
        <w:rPr>
          <w:rFonts w:cstheme="minorHAnsi"/>
        </w:rPr>
      </w:pPr>
      <w:r w:rsidRPr="0013571A">
        <w:rPr>
          <w:rFonts w:cstheme="minorHAnsi"/>
        </w:rPr>
        <w:t>6</w:t>
      </w:r>
      <w:r w:rsidR="00F81D8F" w:rsidRPr="0013571A">
        <w:rPr>
          <w:rFonts w:cstheme="minorHAnsi"/>
        </w:rPr>
        <w:t>)</w:t>
      </w:r>
      <w:r w:rsidR="007047E2" w:rsidRPr="0013571A">
        <w:rPr>
          <w:rFonts w:cstheme="minorHAnsi"/>
        </w:rPr>
        <w:t xml:space="preserve"> </w:t>
      </w:r>
      <w:r w:rsidR="00F81D8F" w:rsidRPr="0013571A">
        <w:rPr>
          <w:rFonts w:cstheme="minorHAnsi"/>
        </w:rPr>
        <w:t xml:space="preserve">Clustered column chart as “Deposits YoY% (2016 </w:t>
      </w:r>
      <w:r w:rsidR="0013571A" w:rsidRPr="0013571A">
        <w:rPr>
          <w:rFonts w:cstheme="minorHAnsi"/>
        </w:rPr>
        <w:t>-</w:t>
      </w:r>
      <w:r w:rsidR="00F81D8F" w:rsidRPr="0013571A">
        <w:rPr>
          <w:rFonts w:cstheme="minorHAnsi"/>
        </w:rPr>
        <w:t xml:space="preserve"> 2025)” </w:t>
      </w:r>
    </w:p>
    <w:p w14:paraId="0A93C09D" w14:textId="533DCB68" w:rsidR="00C9565E" w:rsidRPr="0013571A" w:rsidRDefault="00C9565E" w:rsidP="00326429">
      <w:pPr>
        <w:pStyle w:val="NoSpacing"/>
        <w:jc w:val="both"/>
        <w:rPr>
          <w:rFonts w:cstheme="minorHAnsi"/>
        </w:rPr>
      </w:pPr>
      <w:r w:rsidRPr="0013571A">
        <w:rPr>
          <w:rFonts w:cstheme="minorHAnsi"/>
        </w:rPr>
        <w:t>Deposit growth is positive and strong until 2021</w:t>
      </w:r>
      <w:r w:rsidR="0013571A" w:rsidRPr="0013571A">
        <w:rPr>
          <w:rFonts w:cstheme="minorHAnsi"/>
        </w:rPr>
        <w:t>-</w:t>
      </w:r>
      <w:r w:rsidRPr="0013571A">
        <w:rPr>
          <w:rFonts w:cstheme="minorHAnsi"/>
        </w:rPr>
        <w:t>2022, then turns negative:</w:t>
      </w:r>
    </w:p>
    <w:p w14:paraId="7BD517AE" w14:textId="1FA65549" w:rsidR="00C9565E" w:rsidRPr="0013571A" w:rsidRDefault="00C9565E" w:rsidP="0013571A">
      <w:pPr>
        <w:pStyle w:val="NoSpacing"/>
        <w:numPr>
          <w:ilvl w:val="0"/>
          <w:numId w:val="19"/>
        </w:numPr>
        <w:ind w:left="567" w:hanging="283"/>
        <w:jc w:val="both"/>
        <w:rPr>
          <w:rFonts w:cstheme="minorHAnsi"/>
        </w:rPr>
      </w:pPr>
      <w:r w:rsidRPr="0013571A">
        <w:rPr>
          <w:rFonts w:cstheme="minorHAnsi"/>
        </w:rPr>
        <w:t xml:space="preserve">2023: </w:t>
      </w:r>
      <w:r w:rsidR="0013571A" w:rsidRPr="0013571A">
        <w:rPr>
          <w:rFonts w:cstheme="minorHAnsi"/>
        </w:rPr>
        <w:t>-</w:t>
      </w:r>
      <w:r w:rsidRPr="0013571A">
        <w:rPr>
          <w:rFonts w:cstheme="minorHAnsi"/>
        </w:rPr>
        <w:t>1.53%</w:t>
      </w:r>
    </w:p>
    <w:p w14:paraId="78BE5D99" w14:textId="080CC887" w:rsidR="00C9565E" w:rsidRPr="0013571A" w:rsidRDefault="00C9565E" w:rsidP="0013571A">
      <w:pPr>
        <w:pStyle w:val="NoSpacing"/>
        <w:numPr>
          <w:ilvl w:val="0"/>
          <w:numId w:val="19"/>
        </w:numPr>
        <w:ind w:left="567" w:hanging="283"/>
        <w:jc w:val="both"/>
        <w:rPr>
          <w:rFonts w:cstheme="minorHAnsi"/>
        </w:rPr>
      </w:pPr>
      <w:r w:rsidRPr="0013571A">
        <w:rPr>
          <w:rFonts w:cstheme="minorHAnsi"/>
        </w:rPr>
        <w:t xml:space="preserve">2024: </w:t>
      </w:r>
      <w:r w:rsidR="0013571A" w:rsidRPr="0013571A">
        <w:rPr>
          <w:rFonts w:cstheme="minorHAnsi"/>
        </w:rPr>
        <w:t>-</w:t>
      </w:r>
      <w:r w:rsidRPr="0013571A">
        <w:rPr>
          <w:rFonts w:cstheme="minorHAnsi"/>
        </w:rPr>
        <w:t>4.66%</w:t>
      </w:r>
    </w:p>
    <w:p w14:paraId="03D45965" w14:textId="5089FB9A" w:rsidR="00C9565E" w:rsidRPr="0013571A" w:rsidRDefault="00C9565E" w:rsidP="0013571A">
      <w:pPr>
        <w:pStyle w:val="NoSpacing"/>
        <w:numPr>
          <w:ilvl w:val="0"/>
          <w:numId w:val="19"/>
        </w:numPr>
        <w:ind w:left="567" w:hanging="283"/>
        <w:jc w:val="both"/>
        <w:rPr>
          <w:rFonts w:cstheme="minorHAnsi"/>
        </w:rPr>
      </w:pPr>
      <w:r w:rsidRPr="0013571A">
        <w:rPr>
          <w:rFonts w:cstheme="minorHAnsi"/>
        </w:rPr>
        <w:t xml:space="preserve">2025: </w:t>
      </w:r>
      <w:r w:rsidR="0013571A" w:rsidRPr="0013571A">
        <w:rPr>
          <w:rFonts w:cstheme="minorHAnsi"/>
        </w:rPr>
        <w:t>-</w:t>
      </w:r>
      <w:r w:rsidRPr="0013571A">
        <w:rPr>
          <w:rFonts w:cstheme="minorHAnsi"/>
        </w:rPr>
        <w:t>0.81%</w:t>
      </w:r>
    </w:p>
    <w:p w14:paraId="05505D66" w14:textId="7F613FCC" w:rsidR="00F81D8F" w:rsidRPr="0013571A" w:rsidRDefault="00C9565E" w:rsidP="00326429">
      <w:pPr>
        <w:pStyle w:val="NoSpacing"/>
        <w:jc w:val="both"/>
        <w:rPr>
          <w:rFonts w:cstheme="minorHAnsi"/>
        </w:rPr>
      </w:pPr>
      <w:r w:rsidRPr="0013571A">
        <w:rPr>
          <w:rFonts w:cstheme="minorHAnsi"/>
        </w:rPr>
        <w:t>Deposit momentum slows after 2022, reflecting normalization of liquidity conditions and possible shifts in customer behavior or market rates.</w:t>
      </w:r>
    </w:p>
    <w:p w14:paraId="74CAB6CC" w14:textId="77777777" w:rsidR="007047E2" w:rsidRPr="0013571A" w:rsidRDefault="007047E2" w:rsidP="00326429">
      <w:pPr>
        <w:pStyle w:val="NoSpacing"/>
        <w:jc w:val="both"/>
        <w:rPr>
          <w:rFonts w:cstheme="minorHAnsi"/>
        </w:rPr>
      </w:pPr>
    </w:p>
    <w:p w14:paraId="7892C1C8" w14:textId="2F6F35A3" w:rsidR="00F81D8F" w:rsidRPr="0013571A" w:rsidRDefault="00E91007" w:rsidP="00326429">
      <w:pPr>
        <w:pStyle w:val="NoSpacing"/>
        <w:jc w:val="both"/>
        <w:rPr>
          <w:rFonts w:cstheme="minorHAnsi"/>
        </w:rPr>
      </w:pPr>
      <w:r w:rsidRPr="0013571A">
        <w:rPr>
          <w:rFonts w:cstheme="minorHAnsi"/>
        </w:rPr>
        <w:t>7</w:t>
      </w:r>
      <w:r w:rsidR="00F81D8F" w:rsidRPr="0013571A">
        <w:rPr>
          <w:rFonts w:cstheme="minorHAnsi"/>
        </w:rPr>
        <w:t>)</w:t>
      </w:r>
      <w:r w:rsidR="007047E2" w:rsidRPr="0013571A">
        <w:rPr>
          <w:rFonts w:cstheme="minorHAnsi"/>
        </w:rPr>
        <w:t xml:space="preserve"> </w:t>
      </w:r>
      <w:r w:rsidR="00F81D8F" w:rsidRPr="0013571A">
        <w:rPr>
          <w:rFonts w:cstheme="minorHAnsi"/>
        </w:rPr>
        <w:t xml:space="preserve">Column chart as “Gross Loans YoY% (2016 </w:t>
      </w:r>
      <w:r w:rsidR="0013571A" w:rsidRPr="0013571A">
        <w:rPr>
          <w:rFonts w:cstheme="minorHAnsi"/>
        </w:rPr>
        <w:t>-</w:t>
      </w:r>
      <w:r w:rsidR="00F81D8F" w:rsidRPr="0013571A">
        <w:rPr>
          <w:rFonts w:cstheme="minorHAnsi"/>
        </w:rPr>
        <w:t xml:space="preserve"> 2025)” </w:t>
      </w:r>
    </w:p>
    <w:p w14:paraId="0D5C3A6E" w14:textId="77777777" w:rsidR="00C9565E" w:rsidRPr="0013571A" w:rsidRDefault="00C9565E" w:rsidP="00326429">
      <w:pPr>
        <w:pStyle w:val="NoSpacing"/>
        <w:jc w:val="both"/>
        <w:rPr>
          <w:rFonts w:cstheme="minorHAnsi"/>
        </w:rPr>
      </w:pPr>
      <w:r w:rsidRPr="0013571A">
        <w:rPr>
          <w:rFonts w:cstheme="minorHAnsi"/>
        </w:rPr>
        <w:t>Gross Loans show moderate growth until 2022, followed by contraction:</w:t>
      </w:r>
    </w:p>
    <w:p w14:paraId="2324006A" w14:textId="60FA70C2" w:rsidR="00C9565E" w:rsidRPr="0013571A" w:rsidRDefault="00C9565E" w:rsidP="0013571A">
      <w:pPr>
        <w:pStyle w:val="NoSpacing"/>
        <w:numPr>
          <w:ilvl w:val="0"/>
          <w:numId w:val="20"/>
        </w:numPr>
        <w:ind w:left="567" w:hanging="283"/>
        <w:jc w:val="both"/>
        <w:rPr>
          <w:rFonts w:cstheme="minorHAnsi"/>
        </w:rPr>
      </w:pPr>
      <w:r w:rsidRPr="0013571A">
        <w:rPr>
          <w:rFonts w:cstheme="minorHAnsi"/>
        </w:rPr>
        <w:t xml:space="preserve">2023: </w:t>
      </w:r>
      <w:r w:rsidR="0013571A" w:rsidRPr="0013571A">
        <w:rPr>
          <w:rFonts w:cstheme="minorHAnsi"/>
        </w:rPr>
        <w:t>-</w:t>
      </w:r>
      <w:r w:rsidRPr="0013571A">
        <w:rPr>
          <w:rFonts w:cstheme="minorHAnsi"/>
        </w:rPr>
        <w:t>4.16%</w:t>
      </w:r>
    </w:p>
    <w:p w14:paraId="60E21498" w14:textId="50E924D5" w:rsidR="00C9565E" w:rsidRPr="0013571A" w:rsidRDefault="00C9565E" w:rsidP="0013571A">
      <w:pPr>
        <w:pStyle w:val="NoSpacing"/>
        <w:numPr>
          <w:ilvl w:val="0"/>
          <w:numId w:val="20"/>
        </w:numPr>
        <w:ind w:left="567" w:hanging="283"/>
        <w:jc w:val="both"/>
        <w:rPr>
          <w:rFonts w:cstheme="minorHAnsi"/>
        </w:rPr>
      </w:pPr>
      <w:r w:rsidRPr="0013571A">
        <w:rPr>
          <w:rFonts w:cstheme="minorHAnsi"/>
        </w:rPr>
        <w:t xml:space="preserve">2024: </w:t>
      </w:r>
      <w:r w:rsidR="0013571A" w:rsidRPr="0013571A">
        <w:rPr>
          <w:rFonts w:cstheme="minorHAnsi"/>
        </w:rPr>
        <w:t>-</w:t>
      </w:r>
      <w:r w:rsidRPr="0013571A">
        <w:rPr>
          <w:rFonts w:cstheme="minorHAnsi"/>
        </w:rPr>
        <w:t>3.10%</w:t>
      </w:r>
    </w:p>
    <w:p w14:paraId="27827E3E" w14:textId="21D0A6AD" w:rsidR="00C9565E" w:rsidRPr="0013571A" w:rsidRDefault="00C9565E" w:rsidP="0013571A">
      <w:pPr>
        <w:pStyle w:val="NoSpacing"/>
        <w:numPr>
          <w:ilvl w:val="0"/>
          <w:numId w:val="20"/>
        </w:numPr>
        <w:ind w:left="567" w:hanging="283"/>
        <w:jc w:val="both"/>
        <w:rPr>
          <w:rFonts w:cstheme="minorHAnsi"/>
        </w:rPr>
      </w:pPr>
      <w:r w:rsidRPr="0013571A">
        <w:rPr>
          <w:rFonts w:cstheme="minorHAnsi"/>
        </w:rPr>
        <w:t xml:space="preserve">2025: </w:t>
      </w:r>
      <w:r w:rsidR="0013571A" w:rsidRPr="0013571A">
        <w:rPr>
          <w:rFonts w:cstheme="minorHAnsi"/>
        </w:rPr>
        <w:t>-</w:t>
      </w:r>
      <w:r w:rsidRPr="0013571A">
        <w:rPr>
          <w:rFonts w:cstheme="minorHAnsi"/>
        </w:rPr>
        <w:t>2.99%</w:t>
      </w:r>
    </w:p>
    <w:p w14:paraId="7F05B62E" w14:textId="466D9604" w:rsidR="003667E6" w:rsidRPr="0013571A" w:rsidRDefault="00C9565E" w:rsidP="00326429">
      <w:pPr>
        <w:pStyle w:val="NoSpacing"/>
        <w:jc w:val="both"/>
        <w:rPr>
          <w:rFonts w:cstheme="minorHAnsi"/>
        </w:rPr>
      </w:pPr>
      <w:r w:rsidRPr="0013571A">
        <w:rPr>
          <w:rFonts w:cstheme="minorHAnsi"/>
        </w:rPr>
        <w:t>The decline in loan volumes reduces funding needs and contributes to the stabilization of liquidity metrics.</w:t>
      </w:r>
    </w:p>
    <w:p w14:paraId="1FA0596A" w14:textId="77777777" w:rsidR="003667E6" w:rsidRPr="0013571A" w:rsidRDefault="003667E6" w:rsidP="00326429">
      <w:pPr>
        <w:pStyle w:val="NoSpacing"/>
        <w:jc w:val="both"/>
        <w:rPr>
          <w:rFonts w:cstheme="minorHAnsi"/>
        </w:rPr>
      </w:pPr>
    </w:p>
    <w:p w14:paraId="74AC65FF" w14:textId="77777777" w:rsidR="004B462E" w:rsidRPr="0013571A" w:rsidRDefault="004B462E" w:rsidP="00326429">
      <w:pPr>
        <w:pStyle w:val="NoSpacing"/>
        <w:jc w:val="both"/>
        <w:rPr>
          <w:rFonts w:cstheme="minorHAnsi"/>
        </w:rPr>
      </w:pPr>
    </w:p>
    <w:p w14:paraId="7411744D" w14:textId="77777777" w:rsidR="004B462E" w:rsidRPr="0013571A" w:rsidRDefault="004B462E" w:rsidP="00326429">
      <w:pPr>
        <w:pStyle w:val="NoSpacing"/>
        <w:jc w:val="both"/>
        <w:rPr>
          <w:rFonts w:cstheme="minorHAnsi"/>
        </w:rPr>
      </w:pPr>
    </w:p>
    <w:p w14:paraId="24FA86E4" w14:textId="77777777" w:rsidR="004B462E" w:rsidRPr="0013571A" w:rsidRDefault="004B462E" w:rsidP="00326429">
      <w:pPr>
        <w:pStyle w:val="NoSpacing"/>
        <w:jc w:val="both"/>
        <w:rPr>
          <w:rFonts w:cstheme="minorHAnsi"/>
        </w:rPr>
      </w:pPr>
    </w:p>
    <w:p w14:paraId="6ABF5AF5" w14:textId="77777777" w:rsidR="004B462E" w:rsidRPr="0013571A" w:rsidRDefault="004B462E" w:rsidP="00326429">
      <w:pPr>
        <w:pStyle w:val="NoSpacing"/>
        <w:jc w:val="both"/>
        <w:rPr>
          <w:rFonts w:cstheme="minorHAnsi"/>
        </w:rPr>
      </w:pPr>
    </w:p>
    <w:p w14:paraId="372951C4" w14:textId="77777777" w:rsidR="00F81D8F" w:rsidRPr="0013571A" w:rsidRDefault="00F81D8F" w:rsidP="00326429">
      <w:pPr>
        <w:pStyle w:val="NoSpacing"/>
        <w:jc w:val="both"/>
        <w:rPr>
          <w:rFonts w:cstheme="minorHAnsi"/>
        </w:rPr>
      </w:pPr>
    </w:p>
    <w:p w14:paraId="7955D0FD" w14:textId="77777777" w:rsidR="00F81D8F" w:rsidRPr="0013571A" w:rsidRDefault="00F81D8F" w:rsidP="00326429">
      <w:pPr>
        <w:pStyle w:val="NoSpacing"/>
        <w:jc w:val="both"/>
        <w:rPr>
          <w:rFonts w:cstheme="minorHAnsi"/>
        </w:rPr>
      </w:pPr>
    </w:p>
    <w:p w14:paraId="152B9551" w14:textId="77777777" w:rsidR="007047E2" w:rsidRPr="0013571A" w:rsidRDefault="007047E2" w:rsidP="00326429">
      <w:pPr>
        <w:pStyle w:val="NoSpacing"/>
        <w:jc w:val="both"/>
        <w:rPr>
          <w:rFonts w:cstheme="minorHAnsi"/>
        </w:rPr>
      </w:pPr>
    </w:p>
    <w:p w14:paraId="196613C6" w14:textId="77777777" w:rsidR="007047E2" w:rsidRPr="0013571A" w:rsidRDefault="007047E2" w:rsidP="00326429">
      <w:pPr>
        <w:pStyle w:val="NoSpacing"/>
        <w:jc w:val="both"/>
        <w:rPr>
          <w:rFonts w:cstheme="minorHAnsi"/>
        </w:rPr>
      </w:pPr>
    </w:p>
    <w:p w14:paraId="5A171E09" w14:textId="77777777" w:rsidR="00F81D8F" w:rsidRPr="0013571A" w:rsidRDefault="00F81D8F" w:rsidP="00326429">
      <w:pPr>
        <w:pStyle w:val="NoSpacing"/>
        <w:jc w:val="both"/>
        <w:rPr>
          <w:rFonts w:cstheme="minorHAnsi"/>
        </w:rPr>
      </w:pPr>
    </w:p>
    <w:p w14:paraId="271FFDDC" w14:textId="77777777" w:rsidR="007047E2" w:rsidRPr="0013571A" w:rsidRDefault="007047E2" w:rsidP="00326429">
      <w:pPr>
        <w:jc w:val="both"/>
        <w:rPr>
          <w:rFonts w:cstheme="minorHAnsi"/>
          <w:b/>
          <w:bCs/>
        </w:rPr>
      </w:pPr>
      <w:r w:rsidRPr="0013571A">
        <w:rPr>
          <w:rFonts w:cstheme="minorHAnsi"/>
          <w:b/>
          <w:bCs/>
        </w:rPr>
        <w:br w:type="page"/>
      </w:r>
    </w:p>
    <w:p w14:paraId="637BD1E8" w14:textId="1FB2BD97" w:rsidR="00F81D8F" w:rsidRPr="0013571A" w:rsidRDefault="00F81D8F" w:rsidP="00326429">
      <w:pPr>
        <w:pStyle w:val="NoSpacing"/>
        <w:jc w:val="both"/>
        <w:rPr>
          <w:rFonts w:cstheme="minorHAnsi"/>
          <w:b/>
          <w:bCs/>
        </w:rPr>
      </w:pPr>
      <w:r w:rsidRPr="0013571A">
        <w:rPr>
          <w:rFonts w:cstheme="minorHAnsi"/>
          <w:b/>
          <w:bCs/>
        </w:rPr>
        <w:lastRenderedPageBreak/>
        <w:t xml:space="preserve">Capital Adequacy </w:t>
      </w:r>
      <w:r w:rsidR="007047E2" w:rsidRPr="0013571A">
        <w:rPr>
          <w:rFonts w:cstheme="minorHAnsi"/>
          <w:b/>
          <w:bCs/>
        </w:rPr>
        <w:t xml:space="preserve">- </w:t>
      </w:r>
      <w:r w:rsidRPr="0013571A">
        <w:rPr>
          <w:rFonts w:cstheme="minorHAnsi"/>
          <w:b/>
          <w:bCs/>
        </w:rPr>
        <w:t>Page 6</w:t>
      </w:r>
      <w:r w:rsidR="007047E2" w:rsidRPr="0013571A">
        <w:rPr>
          <w:rFonts w:cstheme="minorHAnsi"/>
          <w:b/>
          <w:bCs/>
        </w:rPr>
        <w:t xml:space="preserve"> from the Dashboard</w:t>
      </w:r>
    </w:p>
    <w:p w14:paraId="06A506D7" w14:textId="77777777" w:rsidR="00E91007" w:rsidRPr="0013571A" w:rsidRDefault="00E91007" w:rsidP="00326429">
      <w:pPr>
        <w:pStyle w:val="NoSpacing"/>
        <w:jc w:val="both"/>
        <w:rPr>
          <w:rFonts w:cstheme="minorHAnsi"/>
        </w:rPr>
      </w:pPr>
    </w:p>
    <w:p w14:paraId="4BF4D190" w14:textId="2C397C18" w:rsidR="00E91007" w:rsidRPr="0013571A" w:rsidRDefault="00E91007" w:rsidP="00E91007">
      <w:pPr>
        <w:pStyle w:val="NoSpacing"/>
        <w:jc w:val="both"/>
        <w:rPr>
          <w:rFonts w:cstheme="minorHAnsi"/>
        </w:rPr>
      </w:pPr>
      <w:r w:rsidRPr="0013571A">
        <w:rPr>
          <w:rFonts w:cstheme="minorHAnsi"/>
        </w:rPr>
        <w:t>1) Overall narrative for sixth page of the dashboard:</w:t>
      </w:r>
    </w:p>
    <w:p w14:paraId="0A186D96" w14:textId="28D0EED4" w:rsidR="00E91007" w:rsidRPr="0013571A" w:rsidRDefault="00E91007" w:rsidP="00E91007">
      <w:pPr>
        <w:pStyle w:val="NoSpacing"/>
        <w:jc w:val="both"/>
        <w:rPr>
          <w:rFonts w:cstheme="minorHAnsi"/>
        </w:rPr>
      </w:pPr>
      <w:r w:rsidRPr="0013571A">
        <w:rPr>
          <w:rFonts w:cstheme="minorHAnsi"/>
        </w:rPr>
        <w:t>The bank’s capital position over 2016</w:t>
      </w:r>
      <w:r w:rsidR="0013571A" w:rsidRPr="0013571A">
        <w:rPr>
          <w:rFonts w:cstheme="minorHAnsi"/>
        </w:rPr>
        <w:t>-</w:t>
      </w:r>
      <w:r w:rsidRPr="0013571A">
        <w:rPr>
          <w:rFonts w:cstheme="minorHAnsi"/>
        </w:rPr>
        <w:t>2025 is characterized by strong, stable, and consistently compliant capital ratios, well above regulatory requirements. The Tier 1 Capital Ratio remains between 13.5% and 16.3%, ending 2025 at 16.01%, more than double the 6% minimum. This reflects a solid core capital base and effective internal capital generation.</w:t>
      </w:r>
    </w:p>
    <w:p w14:paraId="6630D906" w14:textId="77777777" w:rsidR="00E91007" w:rsidRPr="0013571A" w:rsidRDefault="00E91007" w:rsidP="00E91007">
      <w:pPr>
        <w:pStyle w:val="NoSpacing"/>
        <w:jc w:val="both"/>
        <w:rPr>
          <w:rFonts w:cstheme="minorHAnsi"/>
        </w:rPr>
      </w:pPr>
      <w:r w:rsidRPr="0013571A">
        <w:rPr>
          <w:rFonts w:cstheme="minorHAnsi"/>
        </w:rPr>
        <w:t>Similarly, the Total Capital Ratio stays robust throughout the decade, ranging from 16.6% to 19.3%, and reaching 18.57% in 2025, comfortably above the 8% minimum. These levels indicate that the bank maintains significant capital buffers, providing resilience against potential credit, market, or operational shocks.</w:t>
      </w:r>
    </w:p>
    <w:p w14:paraId="7B02AA98" w14:textId="77777777" w:rsidR="00E91007" w:rsidRPr="0013571A" w:rsidRDefault="00E91007" w:rsidP="00E91007">
      <w:pPr>
        <w:pStyle w:val="NoSpacing"/>
        <w:jc w:val="both"/>
        <w:rPr>
          <w:rFonts w:cstheme="minorHAnsi"/>
        </w:rPr>
      </w:pPr>
      <w:r w:rsidRPr="0013571A">
        <w:rPr>
          <w:rFonts w:cstheme="minorHAnsi"/>
        </w:rPr>
        <w:t>The stability of both ratios, even during periods of economic stress such as 2020, highlights prudent balance sheet management, disciplined risk</w:t>
      </w:r>
      <w:r w:rsidRPr="0013571A">
        <w:rPr>
          <w:rFonts w:ascii="Cambria Math" w:hAnsi="Cambria Math" w:cs="Cambria Math"/>
        </w:rPr>
        <w:t>‑</w:t>
      </w:r>
      <w:r w:rsidRPr="0013571A">
        <w:rPr>
          <w:rFonts w:cstheme="minorHAnsi"/>
        </w:rPr>
        <w:t>weighted asset growth, and consistent profitability in most years. The gradual increase in equity - from 65.7bn in 2016 to 79.5bn in 2025 - further supports the strengthening of the capital base.</w:t>
      </w:r>
    </w:p>
    <w:p w14:paraId="30578D3E" w14:textId="77777777" w:rsidR="00E91007" w:rsidRPr="0013571A" w:rsidRDefault="00E91007" w:rsidP="00E91007">
      <w:pPr>
        <w:pStyle w:val="NoSpacing"/>
        <w:jc w:val="both"/>
        <w:rPr>
          <w:rFonts w:cstheme="minorHAnsi"/>
        </w:rPr>
      </w:pPr>
      <w:r w:rsidRPr="0013571A">
        <w:rPr>
          <w:rFonts w:cstheme="minorHAnsi"/>
        </w:rPr>
        <w:t>Overall, Page 6 shows a bank with strong capital adequacy, well</w:t>
      </w:r>
      <w:r w:rsidRPr="0013571A">
        <w:rPr>
          <w:rFonts w:ascii="Cambria Math" w:hAnsi="Cambria Math" w:cs="Cambria Math"/>
        </w:rPr>
        <w:t>‑</w:t>
      </w:r>
      <w:r w:rsidRPr="0013571A">
        <w:rPr>
          <w:rFonts w:cstheme="minorHAnsi"/>
        </w:rPr>
        <w:t>positioned to absorb losses, support lending activity, and meet regulatory expectations with a comfortable margin.</w:t>
      </w:r>
    </w:p>
    <w:p w14:paraId="498629CD" w14:textId="77777777" w:rsidR="007047E2" w:rsidRPr="0013571A" w:rsidRDefault="007047E2" w:rsidP="00326429">
      <w:pPr>
        <w:pStyle w:val="NoSpacing"/>
        <w:jc w:val="both"/>
        <w:rPr>
          <w:rFonts w:cstheme="minorHAnsi"/>
        </w:rPr>
      </w:pPr>
    </w:p>
    <w:p w14:paraId="22389065" w14:textId="0F12017C" w:rsidR="00F81D8F" w:rsidRPr="0013571A" w:rsidRDefault="00E91007" w:rsidP="00326429">
      <w:pPr>
        <w:pStyle w:val="NoSpacing"/>
        <w:jc w:val="both"/>
        <w:rPr>
          <w:rFonts w:cstheme="minorHAnsi"/>
        </w:rPr>
      </w:pPr>
      <w:r w:rsidRPr="0013571A">
        <w:rPr>
          <w:rFonts w:cstheme="minorHAnsi"/>
        </w:rPr>
        <w:t>2</w:t>
      </w:r>
      <w:r w:rsidR="007047E2" w:rsidRPr="0013571A">
        <w:rPr>
          <w:rFonts w:cstheme="minorHAnsi"/>
        </w:rPr>
        <w:t xml:space="preserve">) </w:t>
      </w:r>
      <w:r w:rsidR="00F81D8F" w:rsidRPr="0013571A">
        <w:rPr>
          <w:rFonts w:cstheme="minorHAnsi"/>
        </w:rPr>
        <w:t>Gauge visuals as “Tier 1 Capital Ratio vs. Regulatory Minimum (2025)”</w:t>
      </w:r>
      <w:r w:rsidR="007047E2" w:rsidRPr="0013571A">
        <w:rPr>
          <w:rFonts w:cstheme="minorHAnsi"/>
        </w:rPr>
        <w:t xml:space="preserve"> and</w:t>
      </w:r>
      <w:r w:rsidR="00F81D8F" w:rsidRPr="0013571A">
        <w:rPr>
          <w:rFonts w:cstheme="minorHAnsi"/>
        </w:rPr>
        <w:t xml:space="preserve"> “Total Capital Ratio vs. Regulatory Minimum (2025)” </w:t>
      </w:r>
    </w:p>
    <w:p w14:paraId="09D1B593" w14:textId="77777777" w:rsidR="00724FD5" w:rsidRPr="0013571A" w:rsidRDefault="00724FD5" w:rsidP="00326429">
      <w:pPr>
        <w:pStyle w:val="NoSpacing"/>
        <w:jc w:val="both"/>
        <w:rPr>
          <w:rFonts w:cstheme="minorHAnsi"/>
        </w:rPr>
      </w:pPr>
      <w:r w:rsidRPr="0013571A">
        <w:rPr>
          <w:rFonts w:cstheme="minorHAnsi"/>
        </w:rPr>
        <w:t>The bank maintains a very strong Tier 1 position, with a buffer of 10 percentage points above the minimum. This indicates robust core capital and strong loss</w:t>
      </w:r>
      <w:r w:rsidRPr="0013571A">
        <w:rPr>
          <w:rFonts w:ascii="Cambria Math" w:hAnsi="Cambria Math" w:cs="Cambria Math"/>
        </w:rPr>
        <w:t>‑</w:t>
      </w:r>
      <w:r w:rsidRPr="0013571A">
        <w:rPr>
          <w:rFonts w:cstheme="minorHAnsi"/>
        </w:rPr>
        <w:t xml:space="preserve">absorption capacity. </w:t>
      </w:r>
    </w:p>
    <w:p w14:paraId="6F08493B" w14:textId="69DE222B" w:rsidR="00F81D8F" w:rsidRPr="0013571A" w:rsidRDefault="00724FD5" w:rsidP="00326429">
      <w:pPr>
        <w:pStyle w:val="NoSpacing"/>
        <w:jc w:val="both"/>
        <w:rPr>
          <w:rFonts w:cstheme="minorHAnsi"/>
        </w:rPr>
      </w:pPr>
      <w:r w:rsidRPr="0013571A">
        <w:rPr>
          <w:rFonts w:cstheme="minorHAnsi"/>
        </w:rPr>
        <w:t>The Total Capital Ratio is more than double the regulatory requirement, confirming a solid overall capital structure that comfortably supports the bank’s risk profile.</w:t>
      </w:r>
    </w:p>
    <w:p w14:paraId="5B521AD8" w14:textId="77777777" w:rsidR="007047E2" w:rsidRPr="0013571A" w:rsidRDefault="007047E2" w:rsidP="00326429">
      <w:pPr>
        <w:pStyle w:val="NoSpacing"/>
        <w:jc w:val="both"/>
        <w:rPr>
          <w:rFonts w:cstheme="minorHAnsi"/>
        </w:rPr>
      </w:pPr>
    </w:p>
    <w:p w14:paraId="3E67E72F" w14:textId="7C3872E1" w:rsidR="00F81D8F" w:rsidRPr="0013571A" w:rsidRDefault="00E91007" w:rsidP="00326429">
      <w:pPr>
        <w:pStyle w:val="NoSpacing"/>
        <w:jc w:val="both"/>
        <w:rPr>
          <w:rFonts w:cstheme="minorHAnsi"/>
        </w:rPr>
      </w:pPr>
      <w:r w:rsidRPr="0013571A">
        <w:rPr>
          <w:rFonts w:cstheme="minorHAnsi"/>
        </w:rPr>
        <w:t>3</w:t>
      </w:r>
      <w:r w:rsidR="007047E2" w:rsidRPr="0013571A">
        <w:rPr>
          <w:rFonts w:cstheme="minorHAnsi"/>
        </w:rPr>
        <w:t xml:space="preserve">) </w:t>
      </w:r>
      <w:r w:rsidR="00F81D8F" w:rsidRPr="0013571A">
        <w:rPr>
          <w:rFonts w:cstheme="minorHAnsi"/>
        </w:rPr>
        <w:t xml:space="preserve">Column charts as “Tier 1 Capital Ratio vs. Regulatory Minimum (2016 - 2025)”, “Total Capital Ratio vs. Regulatory Minimum (2016 - 2025)” </w:t>
      </w:r>
    </w:p>
    <w:p w14:paraId="2B0C4DFB" w14:textId="77777777" w:rsidR="00724FD5" w:rsidRPr="0013571A" w:rsidRDefault="00724FD5" w:rsidP="00326429">
      <w:pPr>
        <w:pStyle w:val="NoSpacing"/>
        <w:jc w:val="both"/>
        <w:rPr>
          <w:rFonts w:cstheme="minorHAnsi"/>
        </w:rPr>
      </w:pPr>
      <w:r w:rsidRPr="0013571A">
        <w:rPr>
          <w:rFonts w:cstheme="minorHAnsi"/>
        </w:rPr>
        <w:t>Tier 1 Capital Ratio remains consistently high throughout the decade:</w:t>
      </w:r>
    </w:p>
    <w:p w14:paraId="4E9CC734" w14:textId="77777777" w:rsidR="00724FD5" w:rsidRPr="0013571A" w:rsidRDefault="00724FD5" w:rsidP="0013571A">
      <w:pPr>
        <w:pStyle w:val="NoSpacing"/>
        <w:numPr>
          <w:ilvl w:val="0"/>
          <w:numId w:val="21"/>
        </w:numPr>
        <w:ind w:left="567" w:hanging="283"/>
        <w:jc w:val="both"/>
        <w:rPr>
          <w:rFonts w:cstheme="minorHAnsi"/>
        </w:rPr>
      </w:pPr>
      <w:r w:rsidRPr="0013571A">
        <w:rPr>
          <w:rFonts w:cstheme="minorHAnsi"/>
        </w:rPr>
        <w:t>Low point: 13.5% in 2018</w:t>
      </w:r>
    </w:p>
    <w:p w14:paraId="759BACBA" w14:textId="77777777" w:rsidR="00724FD5" w:rsidRPr="0013571A" w:rsidRDefault="00724FD5" w:rsidP="0013571A">
      <w:pPr>
        <w:pStyle w:val="NoSpacing"/>
        <w:numPr>
          <w:ilvl w:val="0"/>
          <w:numId w:val="21"/>
        </w:numPr>
        <w:ind w:left="567" w:hanging="283"/>
        <w:jc w:val="both"/>
        <w:rPr>
          <w:rFonts w:cstheme="minorHAnsi"/>
        </w:rPr>
      </w:pPr>
      <w:r w:rsidRPr="0013571A">
        <w:rPr>
          <w:rFonts w:cstheme="minorHAnsi"/>
        </w:rPr>
        <w:t>High point: 16.29% in 2022</w:t>
      </w:r>
    </w:p>
    <w:p w14:paraId="2456410A" w14:textId="77777777" w:rsidR="00724FD5" w:rsidRPr="0013571A" w:rsidRDefault="00724FD5" w:rsidP="0013571A">
      <w:pPr>
        <w:pStyle w:val="NoSpacing"/>
        <w:numPr>
          <w:ilvl w:val="0"/>
          <w:numId w:val="21"/>
        </w:numPr>
        <w:ind w:left="567" w:hanging="283"/>
        <w:jc w:val="both"/>
        <w:rPr>
          <w:rFonts w:cstheme="minorHAnsi"/>
        </w:rPr>
      </w:pPr>
      <w:r w:rsidRPr="0013571A">
        <w:rPr>
          <w:rFonts w:cstheme="minorHAnsi"/>
        </w:rPr>
        <w:t>2025: 16.01%</w:t>
      </w:r>
    </w:p>
    <w:p w14:paraId="4267327A" w14:textId="77777777" w:rsidR="00724FD5" w:rsidRPr="0013571A" w:rsidRDefault="00724FD5" w:rsidP="00326429">
      <w:pPr>
        <w:pStyle w:val="NoSpacing"/>
        <w:jc w:val="both"/>
        <w:rPr>
          <w:rFonts w:cstheme="minorHAnsi"/>
        </w:rPr>
      </w:pPr>
      <w:r w:rsidRPr="0013571A">
        <w:rPr>
          <w:rFonts w:cstheme="minorHAnsi"/>
        </w:rPr>
        <w:t>The ratio stays well above the 6% minimum in every year.</w:t>
      </w:r>
    </w:p>
    <w:p w14:paraId="79773FFC" w14:textId="4A2F4AA5" w:rsidR="003667E6" w:rsidRPr="0013571A" w:rsidRDefault="00724FD5" w:rsidP="00326429">
      <w:pPr>
        <w:pStyle w:val="NoSpacing"/>
        <w:jc w:val="both"/>
        <w:rPr>
          <w:rFonts w:cstheme="minorHAnsi"/>
        </w:rPr>
      </w:pPr>
      <w:r w:rsidRPr="0013571A">
        <w:rPr>
          <w:rFonts w:cstheme="minorHAnsi"/>
        </w:rPr>
        <w:t>The bank demonstrates stable and conservative capital management, with no signs of capital erosion even during stress periods (e.g. 2020).</w:t>
      </w:r>
    </w:p>
    <w:p w14:paraId="6C5D54B2" w14:textId="77777777" w:rsidR="00724FD5" w:rsidRPr="0013571A" w:rsidRDefault="00724FD5" w:rsidP="00326429">
      <w:pPr>
        <w:pStyle w:val="NoSpacing"/>
        <w:jc w:val="both"/>
        <w:rPr>
          <w:rFonts w:cstheme="minorHAnsi"/>
        </w:rPr>
      </w:pPr>
    </w:p>
    <w:p w14:paraId="0D8AF073" w14:textId="77777777" w:rsidR="00724FD5" w:rsidRPr="0013571A" w:rsidRDefault="00724FD5" w:rsidP="00326429">
      <w:pPr>
        <w:pStyle w:val="NoSpacing"/>
        <w:jc w:val="both"/>
        <w:rPr>
          <w:rFonts w:cstheme="minorHAnsi"/>
        </w:rPr>
      </w:pPr>
      <w:r w:rsidRPr="0013571A">
        <w:rPr>
          <w:rFonts w:cstheme="minorHAnsi"/>
        </w:rPr>
        <w:t>Total Capital Ratio follows a similar pattern:</w:t>
      </w:r>
    </w:p>
    <w:p w14:paraId="2F010C65" w14:textId="77777777" w:rsidR="00724FD5" w:rsidRPr="0013571A" w:rsidRDefault="00724FD5" w:rsidP="0013571A">
      <w:pPr>
        <w:pStyle w:val="NoSpacing"/>
        <w:numPr>
          <w:ilvl w:val="0"/>
          <w:numId w:val="22"/>
        </w:numPr>
        <w:ind w:left="567" w:hanging="283"/>
        <w:jc w:val="both"/>
        <w:rPr>
          <w:rFonts w:cstheme="minorHAnsi"/>
        </w:rPr>
      </w:pPr>
      <w:r w:rsidRPr="0013571A">
        <w:rPr>
          <w:rFonts w:cstheme="minorHAnsi"/>
        </w:rPr>
        <w:t>Low point: 16.6% in 2018</w:t>
      </w:r>
    </w:p>
    <w:p w14:paraId="3A966B48" w14:textId="77777777" w:rsidR="00724FD5" w:rsidRPr="0013571A" w:rsidRDefault="00724FD5" w:rsidP="0013571A">
      <w:pPr>
        <w:pStyle w:val="NoSpacing"/>
        <w:numPr>
          <w:ilvl w:val="0"/>
          <w:numId w:val="22"/>
        </w:numPr>
        <w:ind w:left="567" w:hanging="283"/>
        <w:jc w:val="both"/>
        <w:rPr>
          <w:rFonts w:cstheme="minorHAnsi"/>
        </w:rPr>
      </w:pPr>
      <w:r w:rsidRPr="0013571A">
        <w:rPr>
          <w:rFonts w:cstheme="minorHAnsi"/>
        </w:rPr>
        <w:t>High point: 19.34% in 2022</w:t>
      </w:r>
    </w:p>
    <w:p w14:paraId="559033C4" w14:textId="77777777" w:rsidR="00724FD5" w:rsidRPr="0013571A" w:rsidRDefault="00724FD5" w:rsidP="0013571A">
      <w:pPr>
        <w:pStyle w:val="NoSpacing"/>
        <w:numPr>
          <w:ilvl w:val="0"/>
          <w:numId w:val="22"/>
        </w:numPr>
        <w:ind w:left="567" w:hanging="283"/>
        <w:jc w:val="both"/>
        <w:rPr>
          <w:rFonts w:cstheme="minorHAnsi"/>
        </w:rPr>
      </w:pPr>
      <w:r w:rsidRPr="0013571A">
        <w:rPr>
          <w:rFonts w:cstheme="minorHAnsi"/>
        </w:rPr>
        <w:t>2025: 18.57%</w:t>
      </w:r>
    </w:p>
    <w:p w14:paraId="718BB734" w14:textId="77777777" w:rsidR="00724FD5" w:rsidRPr="0013571A" w:rsidRDefault="00724FD5" w:rsidP="00326429">
      <w:pPr>
        <w:pStyle w:val="NoSpacing"/>
        <w:jc w:val="both"/>
        <w:rPr>
          <w:rFonts w:cstheme="minorHAnsi"/>
        </w:rPr>
      </w:pPr>
      <w:r w:rsidRPr="0013571A">
        <w:rPr>
          <w:rFonts w:cstheme="minorHAnsi"/>
        </w:rPr>
        <w:t>The ratio remains far above the 8% minimum across all years.</w:t>
      </w:r>
    </w:p>
    <w:p w14:paraId="7FC19BFD" w14:textId="3F46AE4C" w:rsidR="00724FD5" w:rsidRPr="0013571A" w:rsidRDefault="00724FD5" w:rsidP="00326429">
      <w:pPr>
        <w:pStyle w:val="NoSpacing"/>
        <w:jc w:val="both"/>
        <w:rPr>
          <w:rFonts w:cstheme="minorHAnsi"/>
        </w:rPr>
      </w:pPr>
      <w:r w:rsidRPr="0013571A">
        <w:rPr>
          <w:rFonts w:cstheme="minorHAnsi"/>
        </w:rPr>
        <w:t>The bank maintains ample capital buffers, supported by retained earnings and controlled growth in risk</w:t>
      </w:r>
      <w:r w:rsidRPr="0013571A">
        <w:rPr>
          <w:rFonts w:ascii="Cambria Math" w:hAnsi="Cambria Math" w:cs="Cambria Math"/>
        </w:rPr>
        <w:t>‑</w:t>
      </w:r>
      <w:r w:rsidRPr="0013571A">
        <w:rPr>
          <w:rFonts w:cstheme="minorHAnsi"/>
        </w:rPr>
        <w:t>weighted assets.</w:t>
      </w:r>
    </w:p>
    <w:p w14:paraId="691BCF42" w14:textId="77777777" w:rsidR="003667E6" w:rsidRPr="0013571A" w:rsidRDefault="003667E6" w:rsidP="00326429">
      <w:pPr>
        <w:pStyle w:val="NoSpacing"/>
        <w:jc w:val="both"/>
        <w:rPr>
          <w:rFonts w:cstheme="minorHAnsi"/>
        </w:rPr>
      </w:pPr>
    </w:p>
    <w:p w14:paraId="0F08EBA0" w14:textId="77777777" w:rsidR="00F81D8F" w:rsidRPr="0013571A" w:rsidRDefault="00F81D8F" w:rsidP="00326429">
      <w:pPr>
        <w:pStyle w:val="NoSpacing"/>
        <w:jc w:val="both"/>
        <w:rPr>
          <w:rFonts w:cstheme="minorHAnsi"/>
        </w:rPr>
      </w:pPr>
    </w:p>
    <w:p w14:paraId="2195E244" w14:textId="77777777" w:rsidR="00F81D8F" w:rsidRPr="0013571A" w:rsidRDefault="00F81D8F" w:rsidP="00326429">
      <w:pPr>
        <w:pStyle w:val="NoSpacing"/>
        <w:jc w:val="both"/>
        <w:rPr>
          <w:rFonts w:cstheme="minorHAnsi"/>
        </w:rPr>
      </w:pPr>
    </w:p>
    <w:p w14:paraId="366AC6D2" w14:textId="77777777" w:rsidR="007047E2" w:rsidRPr="0013571A" w:rsidRDefault="007047E2" w:rsidP="00326429">
      <w:pPr>
        <w:jc w:val="both"/>
        <w:rPr>
          <w:rFonts w:cstheme="minorHAnsi"/>
        </w:rPr>
      </w:pPr>
      <w:r w:rsidRPr="0013571A">
        <w:rPr>
          <w:rFonts w:cstheme="minorHAnsi"/>
        </w:rPr>
        <w:br w:type="page"/>
      </w:r>
    </w:p>
    <w:p w14:paraId="07CEEBF0" w14:textId="5F5AB8A7" w:rsidR="00F81D8F" w:rsidRPr="0013571A" w:rsidRDefault="00F81D8F" w:rsidP="00326429">
      <w:pPr>
        <w:pStyle w:val="NoSpacing"/>
        <w:jc w:val="both"/>
        <w:rPr>
          <w:rFonts w:cstheme="minorHAnsi"/>
          <w:b/>
          <w:bCs/>
        </w:rPr>
      </w:pPr>
      <w:r w:rsidRPr="0013571A">
        <w:rPr>
          <w:rFonts w:cstheme="minorHAnsi"/>
          <w:b/>
          <w:bCs/>
        </w:rPr>
        <w:lastRenderedPageBreak/>
        <w:t xml:space="preserve">Workforce &amp; Efficiency </w:t>
      </w:r>
      <w:r w:rsidR="007047E2" w:rsidRPr="0013571A">
        <w:rPr>
          <w:rFonts w:cstheme="minorHAnsi"/>
          <w:b/>
          <w:bCs/>
        </w:rPr>
        <w:t xml:space="preserve">- </w:t>
      </w:r>
      <w:r w:rsidRPr="0013571A">
        <w:rPr>
          <w:rFonts w:cstheme="minorHAnsi"/>
          <w:b/>
          <w:bCs/>
        </w:rPr>
        <w:t>Page 7</w:t>
      </w:r>
      <w:r w:rsidR="007047E2" w:rsidRPr="0013571A">
        <w:rPr>
          <w:rFonts w:cstheme="minorHAnsi"/>
          <w:b/>
          <w:bCs/>
        </w:rPr>
        <w:t xml:space="preserve"> from the Dashboard</w:t>
      </w:r>
    </w:p>
    <w:p w14:paraId="7DADF7F9" w14:textId="77777777" w:rsidR="00E91007" w:rsidRPr="0013571A" w:rsidRDefault="00E91007" w:rsidP="00326429">
      <w:pPr>
        <w:pStyle w:val="NoSpacing"/>
        <w:jc w:val="both"/>
        <w:rPr>
          <w:rFonts w:cstheme="minorHAnsi"/>
          <w:b/>
          <w:bCs/>
        </w:rPr>
      </w:pPr>
    </w:p>
    <w:p w14:paraId="219EBCD1" w14:textId="57F79E52" w:rsidR="00E91007" w:rsidRPr="0013571A" w:rsidRDefault="00E91007" w:rsidP="00E91007">
      <w:pPr>
        <w:pStyle w:val="NoSpacing"/>
        <w:jc w:val="both"/>
        <w:rPr>
          <w:rFonts w:cstheme="minorHAnsi"/>
        </w:rPr>
      </w:pPr>
      <w:r w:rsidRPr="0013571A">
        <w:rPr>
          <w:rFonts w:cstheme="minorHAnsi"/>
        </w:rPr>
        <w:t>1) Overall narrative for the seventh page of the dashboard:</w:t>
      </w:r>
    </w:p>
    <w:p w14:paraId="61BE59B8" w14:textId="77390B7F" w:rsidR="00E91007" w:rsidRPr="0013571A" w:rsidRDefault="00E91007" w:rsidP="00E91007">
      <w:pPr>
        <w:pStyle w:val="NoSpacing"/>
        <w:jc w:val="both"/>
        <w:rPr>
          <w:rFonts w:cstheme="minorHAnsi"/>
        </w:rPr>
      </w:pPr>
      <w:r w:rsidRPr="0013571A">
        <w:rPr>
          <w:rFonts w:cstheme="minorHAnsi"/>
        </w:rPr>
        <w:t>The bank’s workforce and efficiency profile over 2016</w:t>
      </w:r>
      <w:r w:rsidR="0013571A" w:rsidRPr="0013571A">
        <w:rPr>
          <w:rFonts w:cstheme="minorHAnsi"/>
        </w:rPr>
        <w:t>-</w:t>
      </w:r>
      <w:r w:rsidRPr="0013571A">
        <w:rPr>
          <w:rFonts w:cstheme="minorHAnsi"/>
        </w:rPr>
        <w:t>2025 reflects a decade</w:t>
      </w:r>
      <w:r w:rsidRPr="0013571A">
        <w:rPr>
          <w:rFonts w:ascii="Cambria Math" w:hAnsi="Cambria Math" w:cs="Cambria Math"/>
        </w:rPr>
        <w:t>‑</w:t>
      </w:r>
      <w:r w:rsidRPr="0013571A">
        <w:rPr>
          <w:rFonts w:cstheme="minorHAnsi"/>
        </w:rPr>
        <w:t>long transformation toward a leaner and more productive operating model. Total headcount declines from 131,000 to 110,620, with negative employee growth in most years after 2018. This reduction is consistent with industry</w:t>
      </w:r>
      <w:r w:rsidRPr="0013571A">
        <w:rPr>
          <w:rFonts w:ascii="Cambria Math" w:hAnsi="Cambria Math" w:cs="Cambria Math"/>
        </w:rPr>
        <w:t>‑</w:t>
      </w:r>
      <w:r w:rsidRPr="0013571A">
        <w:rPr>
          <w:rFonts w:cstheme="minorHAnsi"/>
        </w:rPr>
        <w:t>wide digitalization, automation, and restructuring efforts aimed at improving operational efficiency.</w:t>
      </w:r>
    </w:p>
    <w:p w14:paraId="5E84BFBC" w14:textId="77777777" w:rsidR="00E91007" w:rsidRPr="0013571A" w:rsidRDefault="00E91007" w:rsidP="00E91007">
      <w:pPr>
        <w:pStyle w:val="NoSpacing"/>
        <w:jc w:val="both"/>
        <w:rPr>
          <w:rFonts w:cstheme="minorHAnsi"/>
        </w:rPr>
      </w:pPr>
      <w:r w:rsidRPr="0013571A">
        <w:rPr>
          <w:rFonts w:cstheme="minorHAnsi"/>
        </w:rPr>
        <w:t>Despite the shrinking workforce, the bank achieves significant productivity improvements. Revenue per Employee rises from 0.185 in 2016 to 0.253 in 2025, supported by stronger revenues and a more efficient organizational structure. The medium</w:t>
      </w:r>
      <w:r w:rsidRPr="0013571A">
        <w:rPr>
          <w:rFonts w:ascii="Cambria Math" w:hAnsi="Cambria Math" w:cs="Cambria Math"/>
        </w:rPr>
        <w:t>‑</w:t>
      </w:r>
      <w:r w:rsidRPr="0013571A">
        <w:rPr>
          <w:rFonts w:cstheme="minorHAnsi"/>
        </w:rPr>
        <w:t>term growth indicator (3Y CAGR) turns positive in the final years, confirming a sustained upward trend in operational productivity.</w:t>
      </w:r>
    </w:p>
    <w:p w14:paraId="25BC6B9C" w14:textId="77777777" w:rsidR="00E91007" w:rsidRPr="0013571A" w:rsidRDefault="00E91007" w:rsidP="00E91007">
      <w:pPr>
        <w:pStyle w:val="NoSpacing"/>
        <w:jc w:val="both"/>
        <w:rPr>
          <w:rFonts w:cstheme="minorHAnsi"/>
        </w:rPr>
      </w:pPr>
      <w:r w:rsidRPr="0013571A">
        <w:rPr>
          <w:rFonts w:cstheme="minorHAnsi"/>
        </w:rPr>
        <w:t>Financial efficiency strengthens even more visibly. Profit per Employee, which dipped into negative territory during the 2020 pandemic shock, rebounds sharply and reaches its highest level in 2025. The positive 3Y CAGR in the last part of the period reflects improved profitability, cost discipline, and the benefits of a streamlined workforce.</w:t>
      </w:r>
    </w:p>
    <w:p w14:paraId="4879111E" w14:textId="77777777" w:rsidR="00E91007" w:rsidRPr="0013571A" w:rsidRDefault="00E91007" w:rsidP="00E91007">
      <w:pPr>
        <w:pStyle w:val="NoSpacing"/>
        <w:jc w:val="both"/>
        <w:rPr>
          <w:rFonts w:cstheme="minorHAnsi"/>
        </w:rPr>
      </w:pPr>
      <w:r w:rsidRPr="0013571A">
        <w:rPr>
          <w:rFonts w:cstheme="minorHAnsi"/>
        </w:rPr>
        <w:t>Overall, Page 7 shows a bank that has successfully enhanced its operational and financial efficiency, leveraging digital transformation and disciplined cost management to achieve higher productivity with a smaller workforce.</w:t>
      </w:r>
    </w:p>
    <w:p w14:paraId="283E1368" w14:textId="77777777" w:rsidR="00F81D8F" w:rsidRPr="0013571A" w:rsidRDefault="00F81D8F" w:rsidP="00326429">
      <w:pPr>
        <w:pStyle w:val="NoSpacing"/>
        <w:jc w:val="both"/>
        <w:rPr>
          <w:rFonts w:cstheme="minorHAnsi"/>
        </w:rPr>
      </w:pPr>
    </w:p>
    <w:p w14:paraId="43446B23" w14:textId="705BE4BD" w:rsidR="00F81D8F" w:rsidRPr="0013571A" w:rsidRDefault="00E91007" w:rsidP="00326429">
      <w:pPr>
        <w:pStyle w:val="NoSpacing"/>
        <w:jc w:val="both"/>
        <w:rPr>
          <w:rFonts w:cstheme="minorHAnsi"/>
        </w:rPr>
      </w:pPr>
      <w:r w:rsidRPr="0013571A">
        <w:rPr>
          <w:rFonts w:cstheme="minorHAnsi"/>
        </w:rPr>
        <w:t>2</w:t>
      </w:r>
      <w:r w:rsidR="007047E2" w:rsidRPr="0013571A">
        <w:rPr>
          <w:rFonts w:cstheme="minorHAnsi"/>
        </w:rPr>
        <w:t xml:space="preserve">) </w:t>
      </w:r>
      <w:r w:rsidR="00F81D8F" w:rsidRPr="0013571A">
        <w:rPr>
          <w:rFonts w:cstheme="minorHAnsi"/>
        </w:rPr>
        <w:t xml:space="preserve">Line and clustered column chart as “Workforce Evolution: Headcount &amp; Annual Variation (2016 - 2025)” </w:t>
      </w:r>
    </w:p>
    <w:p w14:paraId="535E660F" w14:textId="403A4DD2" w:rsidR="007047E2" w:rsidRPr="0013571A" w:rsidRDefault="0013571A" w:rsidP="00326429">
      <w:pPr>
        <w:pStyle w:val="NoSpacing"/>
        <w:jc w:val="both"/>
        <w:rPr>
          <w:rFonts w:cstheme="minorHAnsi"/>
        </w:rPr>
      </w:pPr>
      <w:r w:rsidRPr="0013571A">
        <w:rPr>
          <w:rFonts w:cstheme="minorHAnsi"/>
        </w:rPr>
        <w:t>The w</w:t>
      </w:r>
      <w:r w:rsidR="00326429" w:rsidRPr="0013571A">
        <w:rPr>
          <w:rFonts w:cstheme="minorHAnsi"/>
        </w:rPr>
        <w:t>orkforce decreases from 131,000 in 2016 to 110,620 in 2025</w:t>
      </w:r>
      <w:r w:rsidRPr="0013571A">
        <w:rPr>
          <w:rFonts w:cstheme="minorHAnsi"/>
        </w:rPr>
        <w:t>, t</w:t>
      </w:r>
      <w:r w:rsidR="00326429" w:rsidRPr="0013571A">
        <w:rPr>
          <w:rFonts w:cstheme="minorHAnsi"/>
        </w:rPr>
        <w:t xml:space="preserve">he decline </w:t>
      </w:r>
      <w:r w:rsidRPr="0013571A">
        <w:rPr>
          <w:rFonts w:cstheme="minorHAnsi"/>
        </w:rPr>
        <w:t>being</w:t>
      </w:r>
      <w:r w:rsidR="00326429" w:rsidRPr="0013571A">
        <w:rPr>
          <w:rFonts w:cstheme="minorHAnsi"/>
        </w:rPr>
        <w:t xml:space="preserve"> gradual but persistent, with only one rebound year (2023).</w:t>
      </w:r>
      <w:r w:rsidRPr="0013571A">
        <w:rPr>
          <w:rFonts w:cstheme="minorHAnsi"/>
        </w:rPr>
        <w:t xml:space="preserve"> </w:t>
      </w:r>
      <w:r w:rsidR="00326429" w:rsidRPr="0013571A">
        <w:rPr>
          <w:rFonts w:cstheme="minorHAnsi"/>
        </w:rPr>
        <w:t>The bank undergoes a structural workforce reduction, likely driven by digitalization, branch optimization and efficiency programs.</w:t>
      </w:r>
      <w:r w:rsidRPr="0013571A">
        <w:rPr>
          <w:rFonts w:cstheme="minorHAnsi"/>
        </w:rPr>
        <w:t xml:space="preserve"> </w:t>
      </w:r>
      <w:r w:rsidR="00326429" w:rsidRPr="0013571A">
        <w:rPr>
          <w:rFonts w:cstheme="minorHAnsi"/>
        </w:rPr>
        <w:t>Despite the shrinking headcount, productivity indicators improve, suggesting successful operational transformation.</w:t>
      </w:r>
    </w:p>
    <w:p w14:paraId="3E25FBA2" w14:textId="77777777" w:rsidR="007047E2" w:rsidRPr="0013571A" w:rsidRDefault="007047E2" w:rsidP="00326429">
      <w:pPr>
        <w:pStyle w:val="NoSpacing"/>
        <w:jc w:val="both"/>
        <w:rPr>
          <w:rFonts w:cstheme="minorHAnsi"/>
        </w:rPr>
      </w:pPr>
    </w:p>
    <w:p w14:paraId="32CEF65B" w14:textId="42A0CE74" w:rsidR="00F81D8F" w:rsidRPr="0013571A" w:rsidRDefault="00E91007" w:rsidP="00326429">
      <w:pPr>
        <w:pStyle w:val="NoSpacing"/>
        <w:jc w:val="both"/>
        <w:rPr>
          <w:rFonts w:cstheme="minorHAnsi"/>
        </w:rPr>
      </w:pPr>
      <w:r w:rsidRPr="0013571A">
        <w:rPr>
          <w:rFonts w:cstheme="minorHAnsi"/>
        </w:rPr>
        <w:t>3</w:t>
      </w:r>
      <w:r w:rsidR="007047E2" w:rsidRPr="0013571A">
        <w:rPr>
          <w:rFonts w:cstheme="minorHAnsi"/>
        </w:rPr>
        <w:t xml:space="preserve">) </w:t>
      </w:r>
      <w:r w:rsidR="00F81D8F" w:rsidRPr="0013571A">
        <w:rPr>
          <w:rFonts w:cstheme="minorHAnsi"/>
        </w:rPr>
        <w:t>Line and clustered column chart as “Operational Productivity: Revenue per Employee &amp; Medium</w:t>
      </w:r>
      <w:r w:rsidR="00F81D8F" w:rsidRPr="0013571A">
        <w:rPr>
          <w:rFonts w:ascii="Cambria Math" w:hAnsi="Cambria Math" w:cs="Cambria Math"/>
        </w:rPr>
        <w:t>‑</w:t>
      </w:r>
      <w:r w:rsidR="00F81D8F" w:rsidRPr="0013571A">
        <w:rPr>
          <w:rFonts w:cstheme="minorHAnsi"/>
        </w:rPr>
        <w:t>Term Growth (2016 - 2025)</w:t>
      </w:r>
      <w:r w:rsidR="00F81D8F" w:rsidRPr="0013571A">
        <w:rPr>
          <w:rFonts w:ascii="Calibri" w:hAnsi="Calibri" w:cs="Calibri"/>
        </w:rPr>
        <w:t>”</w:t>
      </w:r>
      <w:r w:rsidR="00F81D8F" w:rsidRPr="0013571A">
        <w:rPr>
          <w:rFonts w:cstheme="minorHAnsi"/>
        </w:rPr>
        <w:t xml:space="preserve"> </w:t>
      </w:r>
    </w:p>
    <w:p w14:paraId="389D6262" w14:textId="324D9D00" w:rsidR="00326429" w:rsidRPr="0013571A" w:rsidRDefault="00326429" w:rsidP="00326429">
      <w:pPr>
        <w:pStyle w:val="NoSpacing"/>
        <w:jc w:val="both"/>
        <w:rPr>
          <w:rFonts w:cstheme="minorHAnsi"/>
        </w:rPr>
      </w:pPr>
      <w:r w:rsidRPr="0013571A">
        <w:rPr>
          <w:rFonts w:cstheme="minorHAnsi"/>
        </w:rPr>
        <w:t>The Revenue per Employee declines during 2017</w:t>
      </w:r>
      <w:r w:rsidR="0013571A" w:rsidRPr="0013571A">
        <w:rPr>
          <w:rFonts w:cstheme="minorHAnsi"/>
        </w:rPr>
        <w:t>-</w:t>
      </w:r>
      <w:r w:rsidRPr="0013571A">
        <w:rPr>
          <w:rFonts w:cstheme="minorHAnsi"/>
        </w:rPr>
        <w:t>2020 (0.176 → 0.149) and is strong recovery afterward, reaching 0.253 in 2025, the highest level in the dataset. The Revenue per Employee 3Y CAGR % is negative during 2018</w:t>
      </w:r>
      <w:r w:rsidR="0013571A" w:rsidRPr="0013571A">
        <w:rPr>
          <w:rFonts w:cstheme="minorHAnsi"/>
        </w:rPr>
        <w:t>-</w:t>
      </w:r>
      <w:r w:rsidRPr="0013571A">
        <w:rPr>
          <w:rFonts w:cstheme="minorHAnsi"/>
        </w:rPr>
        <w:t>2020 due to revenue pressure and stable headcount and turns strongly positive after 2021, reflecting improved efficiency and revenue growth.</w:t>
      </w:r>
    </w:p>
    <w:p w14:paraId="14CD1341" w14:textId="549895DA" w:rsidR="007047E2" w:rsidRPr="0013571A" w:rsidRDefault="00326429" w:rsidP="00326429">
      <w:pPr>
        <w:pStyle w:val="NoSpacing"/>
        <w:jc w:val="both"/>
        <w:rPr>
          <w:rFonts w:cstheme="minorHAnsi"/>
        </w:rPr>
      </w:pPr>
      <w:r w:rsidRPr="0013571A">
        <w:rPr>
          <w:rFonts w:cstheme="minorHAnsi"/>
        </w:rPr>
        <w:t>Revenue per Employee shows a clear upward trajectory in the second half of the decade. The combination of rising revenues and a smaller workforce results in significant productivity gains.</w:t>
      </w:r>
    </w:p>
    <w:p w14:paraId="2F3F0515" w14:textId="77777777" w:rsidR="007047E2" w:rsidRPr="0013571A" w:rsidRDefault="007047E2" w:rsidP="00326429">
      <w:pPr>
        <w:pStyle w:val="NoSpacing"/>
        <w:jc w:val="both"/>
        <w:rPr>
          <w:rFonts w:cstheme="minorHAnsi"/>
        </w:rPr>
      </w:pPr>
    </w:p>
    <w:p w14:paraId="7FCA3997" w14:textId="2DD729E1" w:rsidR="00F81D8F" w:rsidRPr="0013571A" w:rsidRDefault="00E91007" w:rsidP="00326429">
      <w:pPr>
        <w:pStyle w:val="NoSpacing"/>
        <w:jc w:val="both"/>
        <w:rPr>
          <w:rFonts w:cstheme="minorHAnsi"/>
        </w:rPr>
      </w:pPr>
      <w:r w:rsidRPr="0013571A">
        <w:rPr>
          <w:rFonts w:cstheme="minorHAnsi"/>
        </w:rPr>
        <w:t>4</w:t>
      </w:r>
      <w:r w:rsidR="007047E2" w:rsidRPr="0013571A">
        <w:rPr>
          <w:rFonts w:cstheme="minorHAnsi"/>
        </w:rPr>
        <w:t xml:space="preserve">) </w:t>
      </w:r>
      <w:r w:rsidR="00F81D8F" w:rsidRPr="0013571A">
        <w:rPr>
          <w:rFonts w:cstheme="minorHAnsi"/>
        </w:rPr>
        <w:t>Line and clustered column chart as “Financial Efficiency: Profit per Employee &amp; Medium</w:t>
      </w:r>
      <w:r w:rsidR="00F81D8F" w:rsidRPr="0013571A">
        <w:rPr>
          <w:rFonts w:ascii="Cambria Math" w:hAnsi="Cambria Math" w:cs="Cambria Math"/>
        </w:rPr>
        <w:t>‑</w:t>
      </w:r>
      <w:r w:rsidR="00F81D8F" w:rsidRPr="0013571A">
        <w:rPr>
          <w:rFonts w:cstheme="minorHAnsi"/>
        </w:rPr>
        <w:t>Term Growth (2016 - 2025)</w:t>
      </w:r>
      <w:r w:rsidR="00F81D8F" w:rsidRPr="0013571A">
        <w:rPr>
          <w:rFonts w:ascii="Calibri" w:hAnsi="Calibri" w:cs="Calibri"/>
        </w:rPr>
        <w:t>”</w:t>
      </w:r>
      <w:r w:rsidR="00F81D8F" w:rsidRPr="0013571A">
        <w:rPr>
          <w:rFonts w:cstheme="minorHAnsi"/>
        </w:rPr>
        <w:t xml:space="preserve"> </w:t>
      </w:r>
    </w:p>
    <w:p w14:paraId="19D0FF78" w14:textId="17038F0C" w:rsidR="00326429" w:rsidRPr="0013571A" w:rsidRDefault="0013571A" w:rsidP="00326429">
      <w:pPr>
        <w:pStyle w:val="NoSpacing"/>
        <w:jc w:val="both"/>
        <w:rPr>
          <w:rFonts w:cstheme="minorHAnsi"/>
        </w:rPr>
      </w:pPr>
      <w:r>
        <w:rPr>
          <w:rFonts w:cstheme="minorHAnsi"/>
        </w:rPr>
        <w:t xml:space="preserve">The </w:t>
      </w:r>
      <w:r w:rsidR="00326429" w:rsidRPr="0013571A">
        <w:rPr>
          <w:rFonts w:cstheme="minorHAnsi"/>
        </w:rPr>
        <w:t>Profit per Employee is volatile early in the period, with a sharp drop in 2020 (</w:t>
      </w:r>
      <w:r w:rsidRPr="0013571A">
        <w:rPr>
          <w:rFonts w:cstheme="minorHAnsi"/>
        </w:rPr>
        <w:t>-</w:t>
      </w:r>
      <w:r w:rsidR="00326429" w:rsidRPr="0013571A">
        <w:rPr>
          <w:rFonts w:cstheme="minorHAnsi"/>
        </w:rPr>
        <w:t>0.002), and is strong recovery afterward, reaching 0.0588 in 2025, the best performance in the decade.</w:t>
      </w:r>
      <w:r w:rsidR="004279A2">
        <w:rPr>
          <w:rFonts w:cstheme="minorHAnsi"/>
        </w:rPr>
        <w:t xml:space="preserve"> </w:t>
      </w:r>
      <w:r w:rsidR="00326429" w:rsidRPr="0013571A">
        <w:rPr>
          <w:rFonts w:cstheme="minorHAnsi"/>
        </w:rPr>
        <w:t>The Profit per Employee 3Y CAGR % is highly negative during the pandemic period due to the 2020 loss and turns strongly positive from 2023 onward, reflecting improved profitability and cost control.</w:t>
      </w:r>
    </w:p>
    <w:p w14:paraId="7D645D90" w14:textId="415EC6A0" w:rsidR="003667E6" w:rsidRPr="0013571A" w:rsidRDefault="00326429" w:rsidP="00326429">
      <w:pPr>
        <w:pStyle w:val="NoSpacing"/>
        <w:jc w:val="both"/>
        <w:rPr>
          <w:rFonts w:cstheme="minorHAnsi"/>
        </w:rPr>
      </w:pPr>
      <w:r w:rsidRPr="0013571A">
        <w:rPr>
          <w:rFonts w:cstheme="minorHAnsi"/>
        </w:rPr>
        <w:t>Profit per Employee demonstrates substantial efficiency gains, driven by higher net income and a leaner workforce. The medium</w:t>
      </w:r>
      <w:r w:rsidRPr="0013571A">
        <w:rPr>
          <w:rFonts w:ascii="Cambria Math" w:hAnsi="Cambria Math" w:cs="Cambria Math"/>
        </w:rPr>
        <w:t>‑</w:t>
      </w:r>
      <w:r w:rsidRPr="0013571A">
        <w:rPr>
          <w:rFonts w:cstheme="minorHAnsi"/>
        </w:rPr>
        <w:t>term trend confirms sustained improvement in financial efficiency.</w:t>
      </w:r>
    </w:p>
    <w:p w14:paraId="053474AF" w14:textId="77777777" w:rsidR="00F81D8F" w:rsidRPr="0013571A" w:rsidRDefault="00F81D8F" w:rsidP="00326429">
      <w:pPr>
        <w:pStyle w:val="NoSpacing"/>
        <w:jc w:val="both"/>
        <w:rPr>
          <w:rFonts w:cstheme="minorHAnsi"/>
        </w:rPr>
      </w:pPr>
    </w:p>
    <w:p w14:paraId="1B61EF54" w14:textId="77777777" w:rsidR="00F81D8F" w:rsidRPr="0013571A" w:rsidRDefault="00F81D8F" w:rsidP="00326429">
      <w:pPr>
        <w:pStyle w:val="NoSpacing"/>
        <w:jc w:val="both"/>
        <w:rPr>
          <w:rFonts w:cstheme="minorHAnsi"/>
        </w:rPr>
      </w:pPr>
    </w:p>
    <w:sectPr w:rsidR="00F81D8F" w:rsidRPr="0013571A" w:rsidSect="0013571A">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609"/>
    <w:multiLevelType w:val="hybridMultilevel"/>
    <w:tmpl w:val="50B46AD8"/>
    <w:lvl w:ilvl="0" w:tplc="9F0870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03A54"/>
    <w:multiLevelType w:val="hybridMultilevel"/>
    <w:tmpl w:val="C1324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30129"/>
    <w:multiLevelType w:val="hybridMultilevel"/>
    <w:tmpl w:val="3F1200C2"/>
    <w:lvl w:ilvl="0" w:tplc="9F0870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07A50"/>
    <w:multiLevelType w:val="hybridMultilevel"/>
    <w:tmpl w:val="FAC61A96"/>
    <w:lvl w:ilvl="0" w:tplc="04090001">
      <w:start w:val="1"/>
      <w:numFmt w:val="bullet"/>
      <w:lvlText w:val=""/>
      <w:lvlJc w:val="left"/>
      <w:pPr>
        <w:ind w:left="720" w:hanging="360"/>
      </w:pPr>
      <w:rPr>
        <w:rFonts w:ascii="Symbol" w:hAnsi="Symbol" w:hint="default"/>
      </w:rPr>
    </w:lvl>
    <w:lvl w:ilvl="1" w:tplc="5CBABE48">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8F0642"/>
    <w:multiLevelType w:val="hybridMultilevel"/>
    <w:tmpl w:val="A40263FA"/>
    <w:lvl w:ilvl="0" w:tplc="9F0870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5D4F60"/>
    <w:multiLevelType w:val="hybridMultilevel"/>
    <w:tmpl w:val="BE122D96"/>
    <w:lvl w:ilvl="0" w:tplc="9F0870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C55C0F"/>
    <w:multiLevelType w:val="hybridMultilevel"/>
    <w:tmpl w:val="707CBFEE"/>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7CB548D"/>
    <w:multiLevelType w:val="hybridMultilevel"/>
    <w:tmpl w:val="C48CB3CE"/>
    <w:lvl w:ilvl="0" w:tplc="9F0870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BC71FB"/>
    <w:multiLevelType w:val="hybridMultilevel"/>
    <w:tmpl w:val="16E6E992"/>
    <w:lvl w:ilvl="0" w:tplc="9F0870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302605"/>
    <w:multiLevelType w:val="hybridMultilevel"/>
    <w:tmpl w:val="A15A75AA"/>
    <w:lvl w:ilvl="0" w:tplc="9F0870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354A2B"/>
    <w:multiLevelType w:val="hybridMultilevel"/>
    <w:tmpl w:val="4B1242C2"/>
    <w:lvl w:ilvl="0" w:tplc="9F0870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A71822"/>
    <w:multiLevelType w:val="hybridMultilevel"/>
    <w:tmpl w:val="E85EE168"/>
    <w:lvl w:ilvl="0" w:tplc="9F0870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59453D"/>
    <w:multiLevelType w:val="hybridMultilevel"/>
    <w:tmpl w:val="DC7AB81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6119F7"/>
    <w:multiLevelType w:val="hybridMultilevel"/>
    <w:tmpl w:val="8A267966"/>
    <w:lvl w:ilvl="0" w:tplc="9F0870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D8380B"/>
    <w:multiLevelType w:val="hybridMultilevel"/>
    <w:tmpl w:val="53CAE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740A13"/>
    <w:multiLevelType w:val="hybridMultilevel"/>
    <w:tmpl w:val="39B44008"/>
    <w:lvl w:ilvl="0" w:tplc="9F0870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9F4F2A"/>
    <w:multiLevelType w:val="hybridMultilevel"/>
    <w:tmpl w:val="97FC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B32B1D"/>
    <w:multiLevelType w:val="hybridMultilevel"/>
    <w:tmpl w:val="60C4B98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2B25C3"/>
    <w:multiLevelType w:val="hybridMultilevel"/>
    <w:tmpl w:val="CE7A979A"/>
    <w:lvl w:ilvl="0" w:tplc="9F0870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A31B16"/>
    <w:multiLevelType w:val="hybridMultilevel"/>
    <w:tmpl w:val="99DE3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435C36"/>
    <w:multiLevelType w:val="hybridMultilevel"/>
    <w:tmpl w:val="8E5A9F3A"/>
    <w:lvl w:ilvl="0" w:tplc="9F0870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4D72A5"/>
    <w:multiLevelType w:val="hybridMultilevel"/>
    <w:tmpl w:val="29AC0ECC"/>
    <w:lvl w:ilvl="0" w:tplc="9F0870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341BC0"/>
    <w:multiLevelType w:val="hybridMultilevel"/>
    <w:tmpl w:val="7FB6F5A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CE6836"/>
    <w:multiLevelType w:val="hybridMultilevel"/>
    <w:tmpl w:val="75FA9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0317AE"/>
    <w:multiLevelType w:val="hybridMultilevel"/>
    <w:tmpl w:val="2D84AF66"/>
    <w:lvl w:ilvl="0" w:tplc="9F0870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3720E6"/>
    <w:multiLevelType w:val="hybridMultilevel"/>
    <w:tmpl w:val="7B38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4066116">
    <w:abstractNumId w:val="19"/>
  </w:num>
  <w:num w:numId="2" w16cid:durableId="783113541">
    <w:abstractNumId w:val="23"/>
  </w:num>
  <w:num w:numId="3" w16cid:durableId="1527254468">
    <w:abstractNumId w:val="14"/>
  </w:num>
  <w:num w:numId="4" w16cid:durableId="1494294281">
    <w:abstractNumId w:val="16"/>
  </w:num>
  <w:num w:numId="5" w16cid:durableId="1140197458">
    <w:abstractNumId w:val="25"/>
  </w:num>
  <w:num w:numId="6" w16cid:durableId="23136669">
    <w:abstractNumId w:val="3"/>
  </w:num>
  <w:num w:numId="7" w16cid:durableId="625047188">
    <w:abstractNumId w:val="22"/>
  </w:num>
  <w:num w:numId="8" w16cid:durableId="1549604760">
    <w:abstractNumId w:val="17"/>
  </w:num>
  <w:num w:numId="9" w16cid:durableId="1669557046">
    <w:abstractNumId w:val="12"/>
  </w:num>
  <w:num w:numId="10" w16cid:durableId="2017534180">
    <w:abstractNumId w:val="1"/>
  </w:num>
  <w:num w:numId="11" w16cid:durableId="1020014503">
    <w:abstractNumId w:val="21"/>
  </w:num>
  <w:num w:numId="12" w16cid:durableId="1064717518">
    <w:abstractNumId w:val="10"/>
  </w:num>
  <w:num w:numId="13" w16cid:durableId="731276255">
    <w:abstractNumId w:val="7"/>
  </w:num>
  <w:num w:numId="14" w16cid:durableId="1245996867">
    <w:abstractNumId w:val="9"/>
  </w:num>
  <w:num w:numId="15" w16cid:durableId="872117399">
    <w:abstractNumId w:val="2"/>
  </w:num>
  <w:num w:numId="16" w16cid:durableId="1971936549">
    <w:abstractNumId w:val="8"/>
  </w:num>
  <w:num w:numId="17" w16cid:durableId="303509203">
    <w:abstractNumId w:val="0"/>
  </w:num>
  <w:num w:numId="18" w16cid:durableId="175729252">
    <w:abstractNumId w:val="18"/>
  </w:num>
  <w:num w:numId="19" w16cid:durableId="345329758">
    <w:abstractNumId w:val="24"/>
  </w:num>
  <w:num w:numId="20" w16cid:durableId="1904177207">
    <w:abstractNumId w:val="11"/>
  </w:num>
  <w:num w:numId="21" w16cid:durableId="264653180">
    <w:abstractNumId w:val="20"/>
  </w:num>
  <w:num w:numId="22" w16cid:durableId="468019115">
    <w:abstractNumId w:val="15"/>
  </w:num>
  <w:num w:numId="23" w16cid:durableId="1109079921">
    <w:abstractNumId w:val="4"/>
  </w:num>
  <w:num w:numId="24" w16cid:durableId="169760355">
    <w:abstractNumId w:val="13"/>
  </w:num>
  <w:num w:numId="25" w16cid:durableId="1013609700">
    <w:abstractNumId w:val="5"/>
  </w:num>
  <w:num w:numId="26" w16cid:durableId="506222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E5C"/>
    <w:rsid w:val="000205FC"/>
    <w:rsid w:val="00083FC7"/>
    <w:rsid w:val="000A4A4F"/>
    <w:rsid w:val="0013571A"/>
    <w:rsid w:val="00326429"/>
    <w:rsid w:val="0035692D"/>
    <w:rsid w:val="003667E6"/>
    <w:rsid w:val="004279A2"/>
    <w:rsid w:val="004B462E"/>
    <w:rsid w:val="00507E5C"/>
    <w:rsid w:val="00581C7D"/>
    <w:rsid w:val="00665B92"/>
    <w:rsid w:val="00681779"/>
    <w:rsid w:val="007047E2"/>
    <w:rsid w:val="00724FD5"/>
    <w:rsid w:val="007A3CB7"/>
    <w:rsid w:val="00977467"/>
    <w:rsid w:val="009D7C51"/>
    <w:rsid w:val="00AA6F4C"/>
    <w:rsid w:val="00BC4A71"/>
    <w:rsid w:val="00C6171C"/>
    <w:rsid w:val="00C9565E"/>
    <w:rsid w:val="00CC3F7B"/>
    <w:rsid w:val="00CC66B7"/>
    <w:rsid w:val="00DD6A82"/>
    <w:rsid w:val="00E8631A"/>
    <w:rsid w:val="00E91007"/>
    <w:rsid w:val="00F72286"/>
    <w:rsid w:val="00F81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15DA3"/>
  <w15:chartTrackingRefBased/>
  <w15:docId w15:val="{24C4B6D8-0A0B-4E7C-BAD6-639FF5DB0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E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7E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7E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7E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E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E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7E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7E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7E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7E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7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E5C"/>
    <w:rPr>
      <w:rFonts w:eastAsiaTheme="majorEastAsia" w:cstheme="majorBidi"/>
      <w:color w:val="272727" w:themeColor="text1" w:themeTint="D8"/>
    </w:rPr>
  </w:style>
  <w:style w:type="paragraph" w:styleId="Title">
    <w:name w:val="Title"/>
    <w:basedOn w:val="Normal"/>
    <w:next w:val="Normal"/>
    <w:link w:val="TitleChar"/>
    <w:uiPriority w:val="10"/>
    <w:qFormat/>
    <w:rsid w:val="00507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E5C"/>
    <w:pPr>
      <w:spacing w:before="160"/>
      <w:jc w:val="center"/>
    </w:pPr>
    <w:rPr>
      <w:i/>
      <w:iCs/>
      <w:color w:val="404040" w:themeColor="text1" w:themeTint="BF"/>
    </w:rPr>
  </w:style>
  <w:style w:type="character" w:customStyle="1" w:styleId="QuoteChar">
    <w:name w:val="Quote Char"/>
    <w:basedOn w:val="DefaultParagraphFont"/>
    <w:link w:val="Quote"/>
    <w:uiPriority w:val="29"/>
    <w:rsid w:val="00507E5C"/>
    <w:rPr>
      <w:i/>
      <w:iCs/>
      <w:color w:val="404040" w:themeColor="text1" w:themeTint="BF"/>
    </w:rPr>
  </w:style>
  <w:style w:type="paragraph" w:styleId="ListParagraph">
    <w:name w:val="List Paragraph"/>
    <w:basedOn w:val="Normal"/>
    <w:uiPriority w:val="34"/>
    <w:qFormat/>
    <w:rsid w:val="00507E5C"/>
    <w:pPr>
      <w:ind w:left="720"/>
      <w:contextualSpacing/>
    </w:pPr>
  </w:style>
  <w:style w:type="character" w:styleId="IntenseEmphasis">
    <w:name w:val="Intense Emphasis"/>
    <w:basedOn w:val="DefaultParagraphFont"/>
    <w:uiPriority w:val="21"/>
    <w:qFormat/>
    <w:rsid w:val="00507E5C"/>
    <w:rPr>
      <w:i/>
      <w:iCs/>
      <w:color w:val="2F5496" w:themeColor="accent1" w:themeShade="BF"/>
    </w:rPr>
  </w:style>
  <w:style w:type="paragraph" w:styleId="IntenseQuote">
    <w:name w:val="Intense Quote"/>
    <w:basedOn w:val="Normal"/>
    <w:next w:val="Normal"/>
    <w:link w:val="IntenseQuoteChar"/>
    <w:uiPriority w:val="30"/>
    <w:qFormat/>
    <w:rsid w:val="00507E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7E5C"/>
    <w:rPr>
      <w:i/>
      <w:iCs/>
      <w:color w:val="2F5496" w:themeColor="accent1" w:themeShade="BF"/>
    </w:rPr>
  </w:style>
  <w:style w:type="character" w:styleId="IntenseReference">
    <w:name w:val="Intense Reference"/>
    <w:basedOn w:val="DefaultParagraphFont"/>
    <w:uiPriority w:val="32"/>
    <w:qFormat/>
    <w:rsid w:val="00507E5C"/>
    <w:rPr>
      <w:b/>
      <w:bCs/>
      <w:smallCaps/>
      <w:color w:val="2F5496" w:themeColor="accent1" w:themeShade="BF"/>
      <w:spacing w:val="5"/>
    </w:rPr>
  </w:style>
  <w:style w:type="paragraph" w:styleId="NoSpacing">
    <w:name w:val="No Spacing"/>
    <w:uiPriority w:val="1"/>
    <w:qFormat/>
    <w:rsid w:val="00507E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11</Pages>
  <Words>3661</Words>
  <Characters>20873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Vulcu</dc:creator>
  <cp:keywords/>
  <dc:description/>
  <cp:lastModifiedBy>Emilia Vulcu</cp:lastModifiedBy>
  <cp:revision>7</cp:revision>
  <dcterms:created xsi:type="dcterms:W3CDTF">2026-05-21T15:23:00Z</dcterms:created>
  <dcterms:modified xsi:type="dcterms:W3CDTF">2026-06-04T04:50:00Z</dcterms:modified>
</cp:coreProperties>
</file>