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271588" cy="1214529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1214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  <w:color w:val="000000"/>
          <w:sz w:val="32"/>
          <w:szCs w:val="32"/>
        </w:rPr>
      </w:pPr>
      <w:bookmarkStart w:colFirst="0" w:colLast="0" w:name="_az97se5ul39q" w:id="0"/>
      <w:bookmarkEnd w:id="0"/>
      <w:r w:rsidDel="00000000" w:rsidR="00000000" w:rsidRPr="00000000">
        <w:rPr>
          <w:rFonts w:ascii="Lexend Medium" w:cs="Lexend Medium" w:eastAsia="Lexend Medium" w:hAnsi="Lexend Medium"/>
          <w:b w:val="0"/>
          <w:bCs w:val="0"/>
          <w:color w:val="d13a3a"/>
          <w:sz w:val="90"/>
          <w:szCs w:val="90"/>
          <w:rtl w:val="0"/>
        </w:rPr>
        <w:t xml:space="preserve">English with 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color w:val="d13a3a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d13a3a"/>
          <w:sz w:val="28"/>
          <w:szCs w:val="28"/>
          <w:u w:val="single"/>
          <w:rtl w:val="0"/>
        </w:rPr>
        <w:t xml:space="preserve">CEFR 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color w:val="d13a3a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d13a3a"/>
          <w:sz w:val="28"/>
          <w:szCs w:val="28"/>
          <w:u w:val="single"/>
          <w:rtl w:val="0"/>
        </w:rPr>
        <w:t xml:space="preserve">Documento de referencia académica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color w:val="d13a3a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d13a3a"/>
          <w:sz w:val="28"/>
          <w:szCs w:val="28"/>
          <w:u w:val="single"/>
          <w:rtl w:val="0"/>
        </w:rPr>
        <w:t xml:space="preserve">English with Ease (EWE)</w:t>
      </w:r>
    </w:p>
    <w:p w:rsidR="00000000" w:rsidDel="00000000" w:rsidP="00000000" w:rsidRDefault="00000000" w:rsidRPr="00000000" w14:paraId="00000006">
      <w:pPr>
        <w:pStyle w:val="Heading2"/>
        <w:spacing w:after="80" w:before="360" w:line="312" w:lineRule="auto"/>
        <w:rPr>
          <w:rFonts w:ascii="Roboto" w:cs="Roboto" w:eastAsia="Roboto" w:hAnsi="Roboto"/>
          <w:b w:val="1"/>
          <w:bCs w:val="1"/>
          <w:i w:val="1"/>
          <w:iCs w:val="1"/>
          <w:color w:val="d13a3a"/>
          <w:sz w:val="34"/>
          <w:szCs w:val="34"/>
        </w:rPr>
      </w:pPr>
      <w:bookmarkStart w:colFirst="0" w:colLast="0" w:name="_65kpaxa8ow6n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d13a3a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d13a3a"/>
          <w:sz w:val="34"/>
          <w:szCs w:val="34"/>
          <w:rtl w:val="0"/>
        </w:rPr>
        <w:t xml:space="preserve">Propósito de este documento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0288d1"/>
          <w:sz w:val="22"/>
          <w:szCs w:val="22"/>
        </w:rPr>
      </w:pPr>
      <w:r w:rsidDel="00000000" w:rsidR="00000000" w:rsidRPr="00000000">
        <w:rPr>
          <w:color w:val="0288d1"/>
          <w:sz w:val="22"/>
          <w:szCs w:val="22"/>
          <w:rtl w:val="0"/>
        </w:rPr>
        <w:t xml:space="preserve">El presente documento tiene como objetivo introducir y clarificar el uso del Marco Común Europeo de Referencia para las Lenguas (CEFR/MCER) dentro del modelo académico de English with Ease.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0288d1"/>
          <w:sz w:val="22"/>
          <w:szCs w:val="22"/>
        </w:rPr>
      </w:pPr>
      <w:r w:rsidDel="00000000" w:rsidR="00000000" w:rsidRPr="00000000">
        <w:rPr>
          <w:color w:val="0288d1"/>
          <w:sz w:val="22"/>
          <w:szCs w:val="22"/>
          <w:rtl w:val="0"/>
        </w:rPr>
        <w:t xml:space="preserve">Este documento está diseñado para: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288d1"/>
          <w:sz w:val="22"/>
          <w:szCs w:val="22"/>
        </w:rPr>
      </w:pPr>
      <w:r w:rsidDel="00000000" w:rsidR="00000000" w:rsidRPr="00000000">
        <w:rPr>
          <w:color w:val="0288d1"/>
          <w:sz w:val="22"/>
          <w:szCs w:val="22"/>
          <w:rtl w:val="0"/>
        </w:rPr>
        <w:t xml:space="preserve">Familiarizar al profesor con los niveles del CEFR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288d1"/>
          <w:sz w:val="22"/>
          <w:szCs w:val="22"/>
        </w:rPr>
      </w:pPr>
      <w:r w:rsidDel="00000000" w:rsidR="00000000" w:rsidRPr="00000000">
        <w:rPr>
          <w:color w:val="0288d1"/>
          <w:sz w:val="22"/>
          <w:szCs w:val="22"/>
          <w:rtl w:val="0"/>
        </w:rPr>
        <w:t xml:space="preserve">Explicar de manera clara qué es un </w:t>
      </w:r>
      <w:r w:rsidDel="00000000" w:rsidR="00000000" w:rsidRPr="00000000">
        <w:rPr>
          <w:b w:val="1"/>
          <w:bCs w:val="1"/>
          <w:i w:val="1"/>
          <w:iCs w:val="1"/>
          <w:color w:val="0288d1"/>
          <w:sz w:val="22"/>
          <w:szCs w:val="22"/>
          <w:rtl w:val="0"/>
        </w:rPr>
        <w:t xml:space="preserve">Can-Do</w:t>
      </w:r>
      <w:r w:rsidDel="00000000" w:rsidR="00000000" w:rsidRPr="00000000">
        <w:rPr>
          <w:color w:val="0288d1"/>
          <w:sz w:val="22"/>
          <w:szCs w:val="22"/>
          <w:rtl w:val="0"/>
        </w:rPr>
        <w:t xml:space="preserve"> Statement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288d1"/>
          <w:sz w:val="22"/>
          <w:szCs w:val="22"/>
        </w:rPr>
      </w:pPr>
      <w:r w:rsidDel="00000000" w:rsidR="00000000" w:rsidRPr="00000000">
        <w:rPr>
          <w:color w:val="0288d1"/>
          <w:sz w:val="22"/>
          <w:szCs w:val="22"/>
          <w:rtl w:val="0"/>
        </w:rPr>
        <w:t xml:space="preserve">Definir qué resultados generales se esperan de un alumno en cada nivel EWE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0288d1"/>
          <w:sz w:val="22"/>
          <w:szCs w:val="22"/>
        </w:rPr>
      </w:pPr>
      <w:r w:rsidDel="00000000" w:rsidR="00000000" w:rsidRPr="00000000">
        <w:rPr>
          <w:color w:val="0288d1"/>
          <w:sz w:val="22"/>
          <w:szCs w:val="22"/>
          <w:rtl w:val="0"/>
        </w:rPr>
        <w:t xml:space="preserve">Este documento no describe metodologías, dinámicas de clase ni diseño de actividades.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  <w:color w:val="0288d1"/>
          <w:sz w:val="22"/>
          <w:szCs w:val="22"/>
        </w:rPr>
      </w:pPr>
      <w:r w:rsidDel="00000000" w:rsidR="00000000" w:rsidRPr="00000000">
        <w:rPr>
          <w:i w:val="1"/>
          <w:iCs w:val="1"/>
          <w:color w:val="0288d1"/>
          <w:sz w:val="22"/>
          <w:szCs w:val="22"/>
          <w:rtl w:val="0"/>
        </w:rPr>
        <w:t xml:space="preserve">Para comprender cómo se enseñan estos objetivos en el aula, el profesor debe consultar el </w:t>
      </w:r>
      <w:hyperlink r:id="rId7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2"/>
            <w:szCs w:val="22"/>
            <w:u w:val="single"/>
            <w:rtl w:val="0"/>
          </w:rPr>
          <w:t xml:space="preserve">Manual del Profesor EWE</w:t>
        </w:r>
      </w:hyperlink>
      <w:r w:rsidDel="00000000" w:rsidR="00000000" w:rsidRPr="00000000">
        <w:rPr>
          <w:i w:val="1"/>
          <w:iCs w:val="1"/>
          <w:color w:val="0288d1"/>
          <w:sz w:val="22"/>
          <w:szCs w:val="22"/>
          <w:rtl w:val="0"/>
        </w:rPr>
        <w:t xml:space="preserve">, que establece la metodología, estructura de clase, criterios de observación y retroalimentación.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color w:val="d13a3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color w:val="d13a3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80" w:before="280" w:lineRule="auto"/>
        <w:rPr>
          <w:rFonts w:ascii="Roboto" w:cs="Roboto" w:eastAsia="Roboto" w:hAnsi="Roboto"/>
          <w:b w:val="1"/>
          <w:bCs w:val="1"/>
          <w:color w:val="d13a3a"/>
          <w:sz w:val="34"/>
          <w:szCs w:val="34"/>
        </w:rPr>
      </w:pPr>
      <w:bookmarkStart w:colFirst="0" w:colLast="0" w:name="_18yadrtiefr9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d13a3a"/>
          <w:sz w:val="34"/>
          <w:szCs w:val="34"/>
          <w:rtl w:val="0"/>
        </w:rPr>
        <w:t xml:space="preserve">2. ¿Qué es el CEFR?</w:t>
      </w:r>
    </w:p>
    <w:p w:rsidR="00000000" w:rsidDel="00000000" w:rsidP="00000000" w:rsidRDefault="00000000" w:rsidRPr="00000000" w14:paraId="00000011">
      <w:pPr>
        <w:pStyle w:val="Heading3"/>
        <w:spacing w:after="240" w:before="240" w:lineRule="auto"/>
        <w:rPr>
          <w:rFonts w:ascii="Roboto" w:cs="Roboto" w:eastAsia="Roboto" w:hAnsi="Roboto"/>
          <w:color w:val="0288d1"/>
          <w:sz w:val="24"/>
          <w:szCs w:val="24"/>
        </w:rPr>
      </w:pPr>
      <w:bookmarkStart w:colFirst="0" w:colLast="0" w:name="_18yadrtiefr9" w:id="2"/>
      <w:bookmarkEnd w:id="2"/>
      <w:r w:rsidDel="00000000" w:rsidR="00000000" w:rsidRPr="00000000">
        <w:rPr>
          <w:rFonts w:ascii="Roboto" w:cs="Roboto" w:eastAsia="Roboto" w:hAnsi="Roboto"/>
          <w:color w:val="0288d1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288d1"/>
          <w:sz w:val="24"/>
          <w:szCs w:val="24"/>
          <w:rtl w:val="0"/>
        </w:rPr>
        <w:t xml:space="preserve">Marco Común Europeo de Referencia para las Lenguas </w:t>
      </w:r>
      <w:r w:rsidDel="00000000" w:rsidR="00000000" w:rsidRPr="00000000">
        <w:rPr>
          <w:rFonts w:ascii="Roboto" w:cs="Roboto" w:eastAsia="Roboto" w:hAnsi="Roboto"/>
          <w:color w:val="0288d1"/>
          <w:sz w:val="24"/>
          <w:szCs w:val="24"/>
          <w:rtl w:val="0"/>
        </w:rPr>
        <w:t xml:space="preserve">(CEFR/MCER) es un marco internacional que describe los niveles de dominio de un idioma en función de lo que los usuarios pueden hacer con la lengua.</w:t>
      </w:r>
    </w:p>
    <w:p w:rsidR="00000000" w:rsidDel="00000000" w:rsidP="00000000" w:rsidRDefault="00000000" w:rsidRPr="00000000" w14:paraId="00000012">
      <w:pPr>
        <w:pStyle w:val="Heading3"/>
        <w:spacing w:after="240" w:before="240" w:lineRule="auto"/>
        <w:rPr>
          <w:rFonts w:ascii="Roboto" w:cs="Roboto" w:eastAsia="Roboto" w:hAnsi="Roboto"/>
          <w:color w:val="0288d1"/>
          <w:sz w:val="24"/>
          <w:szCs w:val="24"/>
        </w:rPr>
      </w:pPr>
      <w:bookmarkStart w:colFirst="0" w:colLast="0" w:name="_18yadrtiefr9" w:id="2"/>
      <w:bookmarkEnd w:id="2"/>
      <w:r w:rsidDel="00000000" w:rsidR="00000000" w:rsidRPr="00000000">
        <w:rPr>
          <w:rFonts w:ascii="Roboto" w:cs="Roboto" w:eastAsia="Roboto" w:hAnsi="Roboto"/>
          <w:color w:val="0288d1"/>
          <w:sz w:val="24"/>
          <w:szCs w:val="24"/>
          <w:rtl w:val="0"/>
        </w:rPr>
        <w:t xml:space="preserve">El CEFR: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0288d1"/>
          <w:sz w:val="24"/>
          <w:szCs w:val="24"/>
        </w:rPr>
      </w:pPr>
      <w:bookmarkStart w:colFirst="0" w:colLast="0" w:name="_18yadrtiefr9" w:id="2"/>
      <w:bookmarkEnd w:id="2"/>
      <w:r w:rsidDel="00000000" w:rsidR="00000000" w:rsidRPr="00000000">
        <w:rPr>
          <w:rFonts w:ascii="Roboto" w:cs="Roboto" w:eastAsia="Roboto" w:hAnsi="Roboto"/>
          <w:color w:val="0288d1"/>
          <w:sz w:val="24"/>
          <w:szCs w:val="24"/>
          <w:rtl w:val="0"/>
        </w:rPr>
        <w:t xml:space="preserve">Define niveles de competencia lingüística (A1 a C2)</w:t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288d1"/>
          <w:sz w:val="24"/>
          <w:szCs w:val="24"/>
        </w:rPr>
      </w:pPr>
      <w:bookmarkStart w:colFirst="0" w:colLast="0" w:name="_18yadrtiefr9" w:id="2"/>
      <w:bookmarkEnd w:id="2"/>
      <w:r w:rsidDel="00000000" w:rsidR="00000000" w:rsidRPr="00000000">
        <w:rPr>
          <w:rFonts w:ascii="Roboto" w:cs="Roboto" w:eastAsia="Roboto" w:hAnsi="Roboto"/>
          <w:color w:val="0288d1"/>
          <w:sz w:val="24"/>
          <w:szCs w:val="24"/>
          <w:rtl w:val="0"/>
        </w:rPr>
        <w:t xml:space="preserve">Describe el uso del idioma en contextos reales</w:t>
      </w:r>
    </w:p>
    <w:p w:rsidR="00000000" w:rsidDel="00000000" w:rsidP="00000000" w:rsidRDefault="00000000" w:rsidRPr="00000000" w14:paraId="00000015">
      <w:pPr>
        <w:pStyle w:val="Heading3"/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0288d1"/>
          <w:sz w:val="24"/>
          <w:szCs w:val="24"/>
        </w:rPr>
      </w:pPr>
      <w:bookmarkStart w:colFirst="0" w:colLast="0" w:name="_18yadrtiefr9" w:id="2"/>
      <w:bookmarkEnd w:id="2"/>
      <w:r w:rsidDel="00000000" w:rsidR="00000000" w:rsidRPr="00000000">
        <w:rPr>
          <w:rFonts w:ascii="Roboto" w:cs="Roboto" w:eastAsia="Roboto" w:hAnsi="Roboto"/>
          <w:color w:val="0288d1"/>
          <w:sz w:val="24"/>
          <w:szCs w:val="24"/>
          <w:rtl w:val="0"/>
        </w:rPr>
        <w:t xml:space="preserve">Proporciona un lenguaje común para instituciones, docentes y alumnos</w:t>
        <w:br w:type="textWrapping"/>
      </w:r>
    </w:p>
    <w:p w:rsidR="00000000" w:rsidDel="00000000" w:rsidP="00000000" w:rsidRDefault="00000000" w:rsidRPr="00000000" w14:paraId="00000016">
      <w:pPr>
        <w:pStyle w:val="Heading3"/>
        <w:spacing w:after="240" w:before="240" w:lineRule="auto"/>
        <w:rPr>
          <w:rFonts w:ascii="Roboto" w:cs="Roboto" w:eastAsia="Roboto" w:hAnsi="Roboto"/>
          <w:color w:val="0288d1"/>
          <w:sz w:val="24"/>
          <w:szCs w:val="24"/>
        </w:rPr>
      </w:pPr>
      <w:bookmarkStart w:colFirst="0" w:colLast="0" w:name="_18yadrtiefr9" w:id="2"/>
      <w:bookmarkEnd w:id="2"/>
      <w:r w:rsidDel="00000000" w:rsidR="00000000" w:rsidRPr="00000000">
        <w:rPr>
          <w:rFonts w:ascii="Roboto" w:cs="Roboto" w:eastAsia="Roboto" w:hAnsi="Roboto"/>
          <w:color w:val="0288d1"/>
          <w:sz w:val="24"/>
          <w:szCs w:val="24"/>
          <w:rtl w:val="0"/>
        </w:rPr>
        <w:t xml:space="preserve">El CEFR no define:</w:t>
      </w:r>
    </w:p>
    <w:p w:rsidR="00000000" w:rsidDel="00000000" w:rsidP="00000000" w:rsidRDefault="00000000" w:rsidRPr="00000000" w14:paraId="00000017">
      <w:pPr>
        <w:pStyle w:val="Heading3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0288d1"/>
          <w:sz w:val="24"/>
          <w:szCs w:val="24"/>
        </w:rPr>
      </w:pPr>
      <w:bookmarkStart w:colFirst="0" w:colLast="0" w:name="_18yadrtiefr9" w:id="2"/>
      <w:bookmarkEnd w:id="2"/>
      <w:r w:rsidDel="00000000" w:rsidR="00000000" w:rsidRPr="00000000">
        <w:rPr>
          <w:rFonts w:ascii="Roboto" w:cs="Roboto" w:eastAsia="Roboto" w:hAnsi="Roboto"/>
          <w:color w:val="0288d1"/>
          <w:sz w:val="24"/>
          <w:szCs w:val="24"/>
          <w:rtl w:val="0"/>
        </w:rPr>
        <w:t xml:space="preserve">Métodos de enseñanza</w:t>
      </w:r>
    </w:p>
    <w:p w:rsidR="00000000" w:rsidDel="00000000" w:rsidP="00000000" w:rsidRDefault="00000000" w:rsidRPr="00000000" w14:paraId="00000018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288d1"/>
          <w:sz w:val="24"/>
          <w:szCs w:val="24"/>
        </w:rPr>
      </w:pPr>
      <w:bookmarkStart w:colFirst="0" w:colLast="0" w:name="_18yadrtiefr9" w:id="2"/>
      <w:bookmarkEnd w:id="2"/>
      <w:r w:rsidDel="00000000" w:rsidR="00000000" w:rsidRPr="00000000">
        <w:rPr>
          <w:rFonts w:ascii="Roboto" w:cs="Roboto" w:eastAsia="Roboto" w:hAnsi="Roboto"/>
          <w:color w:val="0288d1"/>
          <w:sz w:val="24"/>
          <w:szCs w:val="24"/>
          <w:rtl w:val="0"/>
        </w:rPr>
        <w:t xml:space="preserve">Libros de texto</w:t>
      </w:r>
    </w:p>
    <w:p w:rsidR="00000000" w:rsidDel="00000000" w:rsidP="00000000" w:rsidRDefault="00000000" w:rsidRPr="00000000" w14:paraId="00000019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288d1"/>
          <w:sz w:val="24"/>
          <w:szCs w:val="24"/>
        </w:rPr>
      </w:pPr>
      <w:bookmarkStart w:colFirst="0" w:colLast="0" w:name="_18yadrtiefr9" w:id="2"/>
      <w:bookmarkEnd w:id="2"/>
      <w:r w:rsidDel="00000000" w:rsidR="00000000" w:rsidRPr="00000000">
        <w:rPr>
          <w:rFonts w:ascii="Roboto" w:cs="Roboto" w:eastAsia="Roboto" w:hAnsi="Roboto"/>
          <w:color w:val="0288d1"/>
          <w:sz w:val="24"/>
          <w:szCs w:val="24"/>
          <w:rtl w:val="0"/>
        </w:rPr>
        <w:t xml:space="preserve">Actividades específicas</w:t>
      </w:r>
    </w:p>
    <w:p w:rsidR="00000000" w:rsidDel="00000000" w:rsidP="00000000" w:rsidRDefault="00000000" w:rsidRPr="00000000" w14:paraId="0000001A">
      <w:pPr>
        <w:pStyle w:val="Heading3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0288d1"/>
          <w:sz w:val="24"/>
          <w:szCs w:val="24"/>
        </w:rPr>
      </w:pPr>
      <w:bookmarkStart w:colFirst="0" w:colLast="0" w:name="_f9wrlxm1e5d4" w:id="3"/>
      <w:bookmarkEnd w:id="3"/>
      <w:r w:rsidDel="00000000" w:rsidR="00000000" w:rsidRPr="00000000">
        <w:rPr>
          <w:rFonts w:ascii="Roboto" w:cs="Roboto" w:eastAsia="Roboto" w:hAnsi="Roboto"/>
          <w:color w:val="0288d1"/>
          <w:sz w:val="24"/>
          <w:szCs w:val="24"/>
          <w:rtl w:val="0"/>
        </w:rPr>
        <w:t xml:space="preserve">Dinámicas de clase</w:t>
        <w:br w:type="textWrapping"/>
      </w:r>
    </w:p>
    <w:p w:rsidR="00000000" w:rsidDel="00000000" w:rsidP="00000000" w:rsidRDefault="00000000" w:rsidRPr="00000000" w14:paraId="0000001B">
      <w:pPr>
        <w:pStyle w:val="Heading3"/>
        <w:spacing w:after="240" w:before="240" w:lineRule="auto"/>
        <w:rPr>
          <w:rFonts w:ascii="Roboto" w:cs="Roboto" w:eastAsia="Roboto" w:hAnsi="Roboto"/>
          <w:i w:val="1"/>
          <w:iCs w:val="1"/>
          <w:color w:val="d13a3a"/>
          <w:sz w:val="24"/>
          <w:szCs w:val="24"/>
        </w:rPr>
      </w:pPr>
      <w:bookmarkStart w:colFirst="0" w:colLast="0" w:name="_dwsq6ax9va54" w:id="4"/>
      <w:bookmarkEnd w:id="4"/>
      <w:r w:rsidDel="00000000" w:rsidR="00000000" w:rsidRPr="00000000">
        <w:rPr>
          <w:rFonts w:ascii="Roboto" w:cs="Roboto" w:eastAsia="Roboto" w:hAnsi="Roboto"/>
          <w:i w:val="1"/>
          <w:iCs w:val="1"/>
          <w:color w:val="d13a3a"/>
          <w:sz w:val="24"/>
          <w:szCs w:val="24"/>
          <w:rtl w:val="0"/>
        </w:rPr>
        <w:t xml:space="preserve">En English with Ease, el CEFR se utiliza como marco de referencia para definir objetivos y progresión, no como método de enseñanza.</w:t>
      </w:r>
    </w:p>
    <w:p w:rsidR="00000000" w:rsidDel="00000000" w:rsidP="00000000" w:rsidRDefault="00000000" w:rsidRPr="00000000" w14:paraId="0000001C">
      <w:pPr>
        <w:pStyle w:val="Heading3"/>
        <w:spacing w:after="80" w:before="280" w:lineRule="auto"/>
        <w:rPr>
          <w:rFonts w:ascii="Roboto" w:cs="Roboto" w:eastAsia="Roboto" w:hAnsi="Roboto"/>
          <w:b w:val="1"/>
          <w:bCs w:val="1"/>
          <w:i w:val="1"/>
          <w:iCs w:val="1"/>
          <w:color w:val="d13a3a"/>
          <w:sz w:val="22"/>
          <w:szCs w:val="22"/>
        </w:rPr>
      </w:pPr>
      <w:bookmarkStart w:colFirst="0" w:colLast="0" w:name="_w9riz5v7bgl1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d13a3a"/>
          <w:sz w:val="22"/>
          <w:szCs w:val="22"/>
          <w:rtl w:val="0"/>
        </w:rPr>
        <w:t xml:space="preserve">Nota de Referencia:  The CEFR in Teaching and Learning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  <w:color w:val="3c78d8"/>
          <w:sz w:val="20"/>
          <w:szCs w:val="20"/>
        </w:rPr>
      </w:pPr>
      <w:r w:rsidDel="00000000" w:rsidR="00000000" w:rsidRPr="00000000">
        <w:rPr>
          <w:i w:val="1"/>
          <w:iCs w:val="1"/>
          <w:color w:val="3c78d8"/>
          <w:sz w:val="20"/>
          <w:szCs w:val="20"/>
          <w:rtl w:val="0"/>
        </w:rPr>
        <w:t xml:space="preserve">Linking teaching to the CEFR is a highly effective way of achieving realistic and attainable goals. A clear proficiency framework provides a structured learning context that helps learners orient themselves and set measurable objectives.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  <w:color w:val="3c78d8"/>
          <w:sz w:val="20"/>
          <w:szCs w:val="20"/>
        </w:rPr>
      </w:pPr>
      <w:r w:rsidDel="00000000" w:rsidR="00000000" w:rsidRPr="00000000">
        <w:rPr>
          <w:i w:val="1"/>
          <w:iCs w:val="1"/>
          <w:color w:val="3c78d8"/>
          <w:sz w:val="20"/>
          <w:szCs w:val="20"/>
          <w:rtl w:val="0"/>
        </w:rPr>
        <w:t xml:space="preserve">The CEFR also supports individualized learning by identifying an optimal level for each learner, allowing teachers to focus on specific strengths and weaknesses. By establishing a shared understanding of proficiency levels, it facilitates setting realistic learning targets for groups, ensuring that learners progress with clear direction. Furthermore, CEFR-based teaching connects learning outcomes to real-world applications, enabling learners to successfully perform professional tasks, pursue university studies, or integrate into new cultural and linguistic environments.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80" w:before="280" w:lineRule="auto"/>
        <w:rPr>
          <w:rFonts w:ascii="Roboto" w:cs="Roboto" w:eastAsia="Roboto" w:hAnsi="Roboto"/>
          <w:b w:val="1"/>
          <w:bCs w:val="1"/>
          <w:color w:val="ee0000"/>
          <w:sz w:val="34"/>
          <w:szCs w:val="34"/>
        </w:rPr>
      </w:pPr>
      <w:bookmarkStart w:colFirst="0" w:colLast="0" w:name="_8u3jmxalexy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34"/>
          <w:szCs w:val="34"/>
          <w:rtl w:val="0"/>
        </w:rPr>
        <w:t xml:space="preserve">3. Niveles del CEFR: visión general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2730"/>
        <w:gridCol w:w="5655"/>
        <w:tblGridChange w:id="0">
          <w:tblGrid>
            <w:gridCol w:w="975"/>
            <w:gridCol w:w="2730"/>
            <w:gridCol w:w="5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A1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Usuario básico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Interacción muy simple y lenguaje de supervivencia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A2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Usuario básico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Manejo de tareas cotidianas y situaciones familiares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B1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Usuario independiente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Comunicación funcional en la mayoría de situaciones comunes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B2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Usuario independiente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Interacción fluida y argumentación básica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Usuario competente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Uso flexible del idioma en contextos académicos y profesionales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Usuario competente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Dominio casi nativo del idioma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Esta tabla ofrece una </w:t>
      </w:r>
      <w:r w:rsidDel="00000000" w:rsidR="00000000" w:rsidRPr="00000000">
        <w:rPr>
          <w:b w:val="1"/>
          <w:bCs w:val="1"/>
          <w:color w:val="3c78d8"/>
          <w:rtl w:val="0"/>
        </w:rPr>
        <w:t xml:space="preserve">orientación general</w:t>
      </w:r>
      <w:r w:rsidDel="00000000" w:rsidR="00000000" w:rsidRPr="00000000">
        <w:rPr>
          <w:color w:val="3c78d8"/>
          <w:rtl w:val="0"/>
        </w:rPr>
        <w:t xml:space="preserve"> y no sustituye los objetivos específicos de cada curso EWE.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d13a3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80" w:before="360" w:line="312" w:lineRule="auto"/>
        <w:rPr>
          <w:rFonts w:ascii="Roboto" w:cs="Roboto" w:eastAsia="Roboto" w:hAnsi="Roboto"/>
          <w:b w:val="1"/>
          <w:bCs w:val="1"/>
          <w:color w:val="d13a3a"/>
          <w:sz w:val="34"/>
          <w:szCs w:val="34"/>
        </w:rPr>
      </w:pPr>
      <w:bookmarkStart w:colFirst="0" w:colLast="0" w:name="_z66qih3ear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80" w:before="360" w:line="312" w:lineRule="auto"/>
        <w:rPr>
          <w:rFonts w:ascii="Roboto" w:cs="Roboto" w:eastAsia="Roboto" w:hAnsi="Roboto"/>
          <w:b w:val="1"/>
          <w:bCs w:val="1"/>
          <w:color w:val="d13a3a"/>
          <w:sz w:val="34"/>
          <w:szCs w:val="34"/>
        </w:rPr>
      </w:pPr>
      <w:bookmarkStart w:colFirst="0" w:colLast="0" w:name="_p25ti7rrprn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80" w:before="360" w:line="312" w:lineRule="auto"/>
        <w:rPr>
          <w:rFonts w:ascii="Roboto" w:cs="Roboto" w:eastAsia="Roboto" w:hAnsi="Roboto"/>
          <w:b w:val="1"/>
          <w:bCs w:val="1"/>
          <w:color w:val="d13a3a"/>
          <w:sz w:val="34"/>
          <w:szCs w:val="34"/>
        </w:rPr>
      </w:pPr>
      <w:bookmarkStart w:colFirst="0" w:colLast="0" w:name="_13jnrm11x1zp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d13a3a"/>
          <w:sz w:val="34"/>
          <w:szCs w:val="34"/>
          <w:rtl w:val="0"/>
        </w:rPr>
        <w:t xml:space="preserve">4. ¿Qué es un “Can-Do Statement”?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d13a3a"/>
        </w:rPr>
      </w:pPr>
      <w:r w:rsidDel="00000000" w:rsidR="00000000" w:rsidRPr="00000000">
        <w:rPr>
          <w:color w:val="0288d1"/>
          <w:rtl w:val="0"/>
        </w:rPr>
        <w:t xml:space="preserve">Un </w:t>
      </w:r>
      <w:r w:rsidDel="00000000" w:rsidR="00000000" w:rsidRPr="00000000">
        <w:rPr>
          <w:b w:val="1"/>
          <w:bCs w:val="1"/>
          <w:color w:val="0288d1"/>
          <w:rtl w:val="0"/>
        </w:rPr>
        <w:t xml:space="preserve">Can-Do Statement</w:t>
      </w:r>
      <w:r w:rsidDel="00000000" w:rsidR="00000000" w:rsidRPr="00000000">
        <w:rPr>
          <w:color w:val="0288d1"/>
          <w:rtl w:val="0"/>
        </w:rPr>
        <w:t xml:space="preserve"> describe </w:t>
      </w:r>
      <w:r w:rsidDel="00000000" w:rsidR="00000000" w:rsidRPr="00000000">
        <w:rPr>
          <w:b w:val="1"/>
          <w:bCs w:val="1"/>
          <w:color w:val="0288d1"/>
          <w:rtl w:val="0"/>
        </w:rPr>
        <w:t xml:space="preserve">una acción comunicativa observable</w:t>
      </w:r>
      <w:r w:rsidDel="00000000" w:rsidR="00000000" w:rsidRPr="00000000">
        <w:rPr>
          <w:color w:val="0288d1"/>
          <w:rtl w:val="0"/>
        </w:rPr>
        <w:t xml:space="preserve"> que un alumno puede realizar en un determinado nivel del idioma.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d13a3a"/>
        </w:rPr>
      </w:pPr>
      <w:r w:rsidDel="00000000" w:rsidR="00000000" w:rsidRPr="00000000">
        <w:rPr>
          <w:color w:val="d13a3a"/>
          <w:rtl w:val="0"/>
        </w:rPr>
        <w:t xml:space="preserve">En English with Ease, un </w:t>
      </w:r>
      <w:r w:rsidDel="00000000" w:rsidR="00000000" w:rsidRPr="00000000">
        <w:rPr>
          <w:b w:val="1"/>
          <w:bCs w:val="1"/>
          <w:i w:val="1"/>
          <w:iCs w:val="1"/>
          <w:color w:val="d13a3a"/>
          <w:rtl w:val="0"/>
        </w:rPr>
        <w:t xml:space="preserve">Can-Do</w:t>
      </w:r>
      <w:r w:rsidDel="00000000" w:rsidR="00000000" w:rsidRPr="00000000">
        <w:rPr>
          <w:color w:val="d13a3a"/>
          <w:rtl w:val="0"/>
        </w:rPr>
        <w:t xml:space="preserve"> Statement: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Se enfoca en el </w:t>
      </w:r>
      <w:r w:rsidDel="00000000" w:rsidR="00000000" w:rsidRPr="00000000">
        <w:rPr>
          <w:b w:val="1"/>
          <w:bCs w:val="1"/>
          <w:color w:val="0288d1"/>
          <w:rtl w:val="0"/>
        </w:rPr>
        <w:t xml:space="preserve">uso del idioma</w:t>
      </w:r>
      <w:r w:rsidDel="00000000" w:rsidR="00000000" w:rsidRPr="00000000">
        <w:rPr>
          <w:color w:val="0288d1"/>
          <w:rtl w:val="0"/>
        </w:rPr>
        <w:t xml:space="preserve">, no en el conocimiento teórico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Describe acciones reales (pedir, describir, interactuar, explicar)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Puede observarse en una actividad o tarea comunicativa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Se evalúa a partir del desempeño, no de la memorización de reglas</w:t>
        <w:br w:type="textWrapping"/>
      </w:r>
    </w:p>
    <w:p w:rsidR="00000000" w:rsidDel="00000000" w:rsidP="00000000" w:rsidRDefault="00000000" w:rsidRPr="00000000" w14:paraId="00000044">
      <w:pPr>
        <w:pStyle w:val="Heading3"/>
        <w:spacing w:after="80" w:before="280" w:lineRule="auto"/>
        <w:rPr>
          <w:rFonts w:ascii="Roboto" w:cs="Roboto" w:eastAsia="Roboto" w:hAnsi="Roboto"/>
          <w:b w:val="1"/>
          <w:bCs w:val="1"/>
          <w:color w:val="d13a3a"/>
          <w:sz w:val="26"/>
          <w:szCs w:val="26"/>
        </w:rPr>
      </w:pPr>
      <w:bookmarkStart w:colFirst="0" w:colLast="0" w:name="_n6z90os33q0x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d13a3a"/>
          <w:sz w:val="26"/>
          <w:szCs w:val="26"/>
          <w:rtl w:val="0"/>
        </w:rPr>
        <w:t xml:space="preserve">Ejemplos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color w:val="d13a3a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13a3a"/>
          <w:rtl w:val="0"/>
        </w:rPr>
        <w:t xml:space="preserve">❌ No es un Can-Do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“Entiende el presente simple”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“Conoce vocabulario de comida”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“Sabe usar preposiciones”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color w:val="d13a3a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13a3a"/>
          <w:rtl w:val="0"/>
        </w:rPr>
        <w:t xml:space="preserve">✅ Sí es un Can-Do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“Puede hablar sobre su rutina diaria”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“Puede pedir comida en un restaurante sencillo”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“Puede describir dónde están las cosas en una habitación”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d13a3a"/>
        </w:rPr>
      </w:pPr>
      <w:r w:rsidDel="00000000" w:rsidR="00000000" w:rsidRPr="00000000">
        <w:rPr>
          <w:color w:val="d13a3a"/>
          <w:rtl w:val="0"/>
        </w:rPr>
        <w:t xml:space="preserve">Los Can-Do Statements permiten establecer objetivos claros, realistas y medibles, alineados con el uso real del idioma.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d13a3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d13a3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d13a3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80" w:before="360" w:line="312" w:lineRule="auto"/>
        <w:rPr>
          <w:rFonts w:ascii="Roboto" w:cs="Roboto" w:eastAsia="Roboto" w:hAnsi="Roboto"/>
          <w:b w:val="1"/>
          <w:bCs w:val="1"/>
          <w:color w:val="d13a3a"/>
          <w:sz w:val="34"/>
          <w:szCs w:val="34"/>
        </w:rPr>
      </w:pPr>
      <w:bookmarkStart w:colFirst="0" w:colLast="0" w:name="_fib2hwzhu50e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d13a3a"/>
          <w:sz w:val="34"/>
          <w:szCs w:val="34"/>
          <w:rtl w:val="0"/>
        </w:rPr>
        <w:t xml:space="preserve">5. Uso de los Can-Do Statements en English with Ease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En el modelo académico de English with Ease, los Can-Do Statements cumplen una función central: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Cada nivel del programa tiene </w:t>
      </w:r>
      <w:r w:rsidDel="00000000" w:rsidR="00000000" w:rsidRPr="00000000">
        <w:rPr>
          <w:b w:val="1"/>
          <w:bCs w:val="1"/>
          <w:color w:val="0288d1"/>
          <w:rtl w:val="0"/>
        </w:rPr>
        <w:t xml:space="preserve">Can-Do Statements de salida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Cada subnivel trabaja progresivamente hacia esos objetivos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Cada clase se diseña en torno a </w:t>
      </w:r>
      <w:r w:rsidDel="00000000" w:rsidR="00000000" w:rsidRPr="00000000">
        <w:rPr>
          <w:b w:val="1"/>
          <w:bCs w:val="1"/>
          <w:color w:val="0288d1"/>
          <w:rtl w:val="0"/>
        </w:rPr>
        <w:t xml:space="preserve">un objetivo comunicativo principal (Can-Do)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Los Can-Do Statements guían: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la planeación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el enfoque de la clase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la observación docente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la retroalimentación al alumno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En EWE, los Can-Do Statements definen </w:t>
      </w:r>
      <w:r w:rsidDel="00000000" w:rsidR="00000000" w:rsidRPr="00000000">
        <w:rPr>
          <w:b w:val="1"/>
          <w:bCs w:val="1"/>
          <w:color w:val="0288d1"/>
          <w:rtl w:val="0"/>
        </w:rPr>
        <w:t xml:space="preserve">qué debe lograr el alumno</w:t>
      </w:r>
      <w:r w:rsidDel="00000000" w:rsidR="00000000" w:rsidRPr="00000000">
        <w:rPr>
          <w:color w:val="0288d1"/>
          <w:rtl w:val="0"/>
        </w:rPr>
        <w:t xml:space="preserve">.</w:t>
        <w:br w:type="textWrapping"/>
        <w:t xml:space="preserve">El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Manual del Profesor EWE</w:t>
        </w:r>
      </w:hyperlink>
      <w:r w:rsidDel="00000000" w:rsidR="00000000" w:rsidRPr="00000000">
        <w:rPr>
          <w:color w:val="0288d1"/>
          <w:rtl w:val="0"/>
        </w:rPr>
        <w:t xml:space="preserve"> explica </w:t>
      </w:r>
      <w:r w:rsidDel="00000000" w:rsidR="00000000" w:rsidRPr="00000000">
        <w:rPr>
          <w:b w:val="1"/>
          <w:bCs w:val="1"/>
          <w:color w:val="0288d1"/>
          <w:rtl w:val="0"/>
        </w:rPr>
        <w:t xml:space="preserve">cómo acompañar al alumno para lograrlo</w:t>
      </w:r>
      <w:r w:rsidDel="00000000" w:rsidR="00000000" w:rsidRPr="00000000">
        <w:rPr>
          <w:color w:val="0288d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2"/>
        <w:spacing w:after="80" w:before="360" w:line="312" w:lineRule="auto"/>
        <w:rPr>
          <w:rFonts w:ascii="Roboto" w:cs="Roboto" w:eastAsia="Roboto" w:hAnsi="Roboto"/>
          <w:b w:val="1"/>
          <w:bCs w:val="1"/>
          <w:color w:val="cc0000"/>
          <w:sz w:val="34"/>
          <w:szCs w:val="34"/>
        </w:rPr>
      </w:pPr>
      <w:bookmarkStart w:colFirst="0" w:colLast="0" w:name="_nkjuwkawa05z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cc0000"/>
          <w:sz w:val="34"/>
          <w:szCs w:val="34"/>
          <w:rtl w:val="0"/>
        </w:rPr>
        <w:t xml:space="preserve">6. Panorama general de niveles en English with Ease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Los siguientes descriptores resumen </w:t>
      </w:r>
      <w:r w:rsidDel="00000000" w:rsidR="00000000" w:rsidRPr="00000000">
        <w:rPr>
          <w:b w:val="1"/>
          <w:bCs w:val="1"/>
          <w:color w:val="0288d1"/>
          <w:rtl w:val="0"/>
        </w:rPr>
        <w:t xml:space="preserve">qué tipo de usuario se espera al finalizar cada nivel</w:t>
      </w:r>
      <w:r w:rsidDel="00000000" w:rsidR="00000000" w:rsidRPr="00000000">
        <w:rPr>
          <w:color w:val="0288d1"/>
          <w:rtl w:val="0"/>
        </w:rPr>
        <w:t xml:space="preserve">, considerando una progresión realista acorde al tiempo del programa.</w:t>
      </w:r>
    </w:p>
    <w:p w:rsidR="00000000" w:rsidDel="00000000" w:rsidP="00000000" w:rsidRDefault="00000000" w:rsidRPr="00000000" w14:paraId="0000005E">
      <w:pPr>
        <w:pStyle w:val="Heading3"/>
        <w:spacing w:after="80" w:before="280" w:lineRule="auto"/>
        <w:rPr>
          <w:rFonts w:ascii="Roboto" w:cs="Roboto" w:eastAsia="Roboto" w:hAnsi="Roboto"/>
          <w:b w:val="1"/>
          <w:bCs w:val="1"/>
          <w:color w:val="0288d1"/>
          <w:sz w:val="26"/>
          <w:szCs w:val="26"/>
        </w:rPr>
      </w:pPr>
      <w:bookmarkStart w:colFirst="0" w:colLast="0" w:name="_23ohuocj4pca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288d1"/>
          <w:sz w:val="26"/>
          <w:szCs w:val="26"/>
          <w:rtl w:val="0"/>
        </w:rPr>
        <w:t xml:space="preserve">A1 – Principiante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313763</wp:posOffset>
            </wp:positionV>
            <wp:extent cx="1473364" cy="1572188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364" cy="1572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0288d1"/>
        </w:rPr>
      </w:pPr>
      <w:r w:rsidDel="00000000" w:rsidR="00000000" w:rsidRPr="00000000">
        <w:rPr>
          <w:b w:val="1"/>
          <w:bCs w:val="1"/>
          <w:color w:val="0288d1"/>
          <w:rtl w:val="0"/>
        </w:rPr>
        <w:t xml:space="preserve">Duración aproximada:</w:t>
      </w:r>
      <w:r w:rsidDel="00000000" w:rsidR="00000000" w:rsidRPr="00000000">
        <w:rPr>
          <w:color w:val="0288d1"/>
          <w:rtl w:val="0"/>
        </w:rPr>
        <w:t xml:space="preserve"> 96 horas (A1.1 + A1.2) 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Al finalizar A1, el alumno: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Puede presentarse y presentar a otros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Puede hablar sobre rutinas y hábitos diarios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Puede describir personas, lugares y necesidades básicas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Puede manejar interacciones cotidianas simples</w:t>
        <w:br w:type="textWrapping"/>
      </w:r>
    </w:p>
    <w:p w:rsidR="00000000" w:rsidDel="00000000" w:rsidP="00000000" w:rsidRDefault="00000000" w:rsidRPr="00000000" w14:paraId="00000065">
      <w:pPr>
        <w:pStyle w:val="Heading3"/>
        <w:spacing w:after="80" w:before="280" w:lineRule="auto"/>
        <w:rPr>
          <w:rFonts w:ascii="Roboto" w:cs="Roboto" w:eastAsia="Roboto" w:hAnsi="Roboto"/>
          <w:b w:val="1"/>
          <w:bCs w:val="1"/>
          <w:color w:val="0288d1"/>
          <w:sz w:val="26"/>
          <w:szCs w:val="26"/>
        </w:rPr>
      </w:pPr>
      <w:bookmarkStart w:colFirst="0" w:colLast="0" w:name="_mzmqi23r6wj5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288d1"/>
          <w:sz w:val="26"/>
          <w:szCs w:val="26"/>
          <w:rtl w:val="0"/>
        </w:rPr>
        <w:t xml:space="preserve">A2 – Elemental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270398</wp:posOffset>
            </wp:positionV>
            <wp:extent cx="1695450" cy="1825102"/>
            <wp:effectExtent b="0" l="0" r="0" t="0"/>
            <wp:wrapSquare wrapText="bothSides" distB="114300" distT="114300" distL="114300" distR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8251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spacing w:after="240" w:before="240" w:lineRule="auto"/>
        <w:rPr>
          <w:color w:val="0288d1"/>
        </w:rPr>
      </w:pPr>
      <w:r w:rsidDel="00000000" w:rsidR="00000000" w:rsidRPr="00000000">
        <w:rPr>
          <w:b w:val="1"/>
          <w:bCs w:val="1"/>
          <w:color w:val="0288d1"/>
          <w:rtl w:val="0"/>
        </w:rPr>
        <w:t xml:space="preserve">Duración aproximada:</w:t>
      </w:r>
      <w:r w:rsidDel="00000000" w:rsidR="00000000" w:rsidRPr="00000000">
        <w:rPr>
          <w:color w:val="0288d1"/>
          <w:rtl w:val="0"/>
        </w:rPr>
        <w:t xml:space="preserve"> 96 horas (A2.1 + A2.2)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Al finalizar A2, el alumno: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Puede manejar situaciones sociales y transaccionales comunes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Puede hablar de experiencias pasadas y planes futuros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Puede expresar gustos, preferencias y opiniones simples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Puede escribir textos cortos y conectados sobre temas familiares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80" w:before="280" w:lineRule="auto"/>
        <w:rPr>
          <w:rFonts w:ascii="Roboto" w:cs="Roboto" w:eastAsia="Roboto" w:hAnsi="Roboto"/>
          <w:b w:val="1"/>
          <w:bCs w:val="1"/>
          <w:color w:val="0288d1"/>
          <w:sz w:val="26"/>
          <w:szCs w:val="26"/>
        </w:rPr>
      </w:pPr>
      <w:bookmarkStart w:colFirst="0" w:colLast="0" w:name="_df023e7ky2fb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288d1"/>
          <w:sz w:val="26"/>
          <w:szCs w:val="26"/>
          <w:rtl w:val="0"/>
        </w:rPr>
        <w:t xml:space="preserve">B1 – Intermedio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170463</wp:posOffset>
            </wp:positionV>
            <wp:extent cx="1562100" cy="2114550"/>
            <wp:effectExtent b="0" l="0" r="0" t="0"/>
            <wp:wrapSquare wrapText="bothSides" distB="114300" distT="11430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11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spacing w:after="240" w:before="240" w:lineRule="auto"/>
        <w:rPr>
          <w:color w:val="0288d1"/>
        </w:rPr>
      </w:pPr>
      <w:r w:rsidDel="00000000" w:rsidR="00000000" w:rsidRPr="00000000">
        <w:rPr>
          <w:b w:val="1"/>
          <w:bCs w:val="1"/>
          <w:color w:val="0288d1"/>
          <w:rtl w:val="0"/>
        </w:rPr>
        <w:t xml:space="preserve">Duración aproximada:</w:t>
      </w:r>
      <w:r w:rsidDel="00000000" w:rsidR="00000000" w:rsidRPr="00000000">
        <w:rPr>
          <w:color w:val="0288d1"/>
          <w:rtl w:val="0"/>
        </w:rPr>
        <w:t xml:space="preserve"> 96 horas (B1.1 + B1.2)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Al finalizar B1, el alumno: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Puede participar en conversaciones sobre temas familiares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Puede expresar opiniones y justificar ideas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Puede escribir correos y textos estructurados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Puede desenvolverse en la mayoría de situaciones de viaje y trabajo cotidiano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color w:val="0288d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80" w:before="280" w:lineRule="auto"/>
        <w:rPr>
          <w:rFonts w:ascii="Roboto" w:cs="Roboto" w:eastAsia="Roboto" w:hAnsi="Roboto"/>
          <w:b w:val="1"/>
          <w:bCs w:val="1"/>
          <w:color w:val="0288d1"/>
          <w:sz w:val="26"/>
          <w:szCs w:val="26"/>
        </w:rPr>
      </w:pPr>
      <w:bookmarkStart w:colFirst="0" w:colLast="0" w:name="_r354svw6b93r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288d1"/>
          <w:sz w:val="26"/>
          <w:szCs w:val="26"/>
          <w:rtl w:val="0"/>
        </w:rPr>
        <w:t xml:space="preserve">B2 – Intermedio Alto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151838</wp:posOffset>
            </wp:positionV>
            <wp:extent cx="1933575" cy="1732987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32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spacing w:after="240" w:before="240" w:lineRule="auto"/>
        <w:rPr>
          <w:color w:val="0288d1"/>
        </w:rPr>
      </w:pPr>
      <w:r w:rsidDel="00000000" w:rsidR="00000000" w:rsidRPr="00000000">
        <w:rPr>
          <w:b w:val="1"/>
          <w:bCs w:val="1"/>
          <w:color w:val="0288d1"/>
          <w:rtl w:val="0"/>
        </w:rPr>
        <w:t xml:space="preserve">Duración aproximada:</w:t>
      </w:r>
      <w:r w:rsidDel="00000000" w:rsidR="00000000" w:rsidRPr="00000000">
        <w:rPr>
          <w:color w:val="0288d1"/>
          <w:rtl w:val="0"/>
        </w:rPr>
        <w:t xml:space="preserve"> 128 horas (B2.1 + B2.2)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Al finalizar B2, el alumno: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Puede discutir temas complejos y abstractos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Puede defender puntos de vista y argumentar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Puede interactuar con fluidez en contextos profesionales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Puede producir textos claros y detallados para distintos propósitos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color w:val="0288d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447113</wp:posOffset>
            </wp:positionV>
            <wp:extent cx="2047157" cy="1733550"/>
            <wp:effectExtent b="0" l="0" r="0" t="0"/>
            <wp:wrapSquare wrapText="bothSides" distB="114300" distT="11430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157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pStyle w:val="Heading3"/>
        <w:spacing w:after="80" w:before="280" w:lineRule="auto"/>
        <w:rPr>
          <w:rFonts w:ascii="Roboto" w:cs="Roboto" w:eastAsia="Roboto" w:hAnsi="Roboto"/>
          <w:b w:val="1"/>
          <w:bCs w:val="1"/>
          <w:color w:val="0288d1"/>
          <w:sz w:val="26"/>
          <w:szCs w:val="26"/>
        </w:rPr>
      </w:pPr>
      <w:bookmarkStart w:colFirst="0" w:colLast="0" w:name="_odtgdc62ak4l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288d1"/>
          <w:sz w:val="26"/>
          <w:szCs w:val="26"/>
          <w:rtl w:val="0"/>
        </w:rPr>
        <w:t xml:space="preserve">C1 / C2 – Avanzado / Dominio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color w:val="0288d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En estos niveles, el alumno desarrolla un uso flexible, preciso y sofisticado del idioma para contextos académicos, profesionales y sociales complejos.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color w:val="0288d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80" w:before="360" w:line="312" w:lineRule="auto"/>
        <w:rPr>
          <w:rFonts w:ascii="Roboto" w:cs="Roboto" w:eastAsia="Roboto" w:hAnsi="Roboto"/>
          <w:b w:val="1"/>
          <w:bCs w:val="1"/>
          <w:color w:val="d13a3a"/>
          <w:sz w:val="34"/>
          <w:szCs w:val="34"/>
        </w:rPr>
      </w:pPr>
      <w:bookmarkStart w:colFirst="0" w:colLast="0" w:name="_cmeikoykba4w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d13a3a"/>
          <w:sz w:val="34"/>
          <w:szCs w:val="34"/>
          <w:rtl w:val="0"/>
        </w:rPr>
        <w:t xml:space="preserve">7. Áreas de habilidad en el CEFR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El </w:t>
      </w:r>
      <w:r w:rsidDel="00000000" w:rsidR="00000000" w:rsidRPr="00000000">
        <w:rPr>
          <w:color w:val="0288d1"/>
          <w:rtl w:val="0"/>
        </w:rPr>
        <w:t xml:space="preserve">CEFR</w:t>
      </w:r>
      <w:r w:rsidDel="00000000" w:rsidR="00000000" w:rsidRPr="00000000">
        <w:rPr>
          <w:color w:val="0288d1"/>
          <w:rtl w:val="0"/>
        </w:rPr>
        <w:t xml:space="preserve"> organiza el uso del idioma en tres grandes áreas: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288d1"/>
        </w:rPr>
      </w:pPr>
      <w:r w:rsidDel="00000000" w:rsidR="00000000" w:rsidRPr="00000000">
        <w:rPr>
          <w:b w:val="1"/>
          <w:bCs w:val="1"/>
          <w:color w:val="0288d1"/>
          <w:rtl w:val="0"/>
        </w:rPr>
        <w:t xml:space="preserve">Recepción:</w:t>
      </w:r>
      <w:r w:rsidDel="00000000" w:rsidR="00000000" w:rsidRPr="00000000">
        <w:rPr>
          <w:color w:val="0288d1"/>
          <w:rtl w:val="0"/>
        </w:rPr>
        <w:t xml:space="preserve"> comprensión auditiva y lectora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b w:val="1"/>
          <w:bCs w:val="1"/>
          <w:color w:val="0288d1"/>
          <w:rtl w:val="0"/>
        </w:rPr>
        <w:t xml:space="preserve">Interacción:</w:t>
      </w:r>
      <w:r w:rsidDel="00000000" w:rsidR="00000000" w:rsidRPr="00000000">
        <w:rPr>
          <w:color w:val="0288d1"/>
          <w:rtl w:val="0"/>
        </w:rPr>
        <w:t xml:space="preserve"> comunicación oral y escrita con otros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b w:val="1"/>
          <w:bCs w:val="1"/>
          <w:color w:val="0288d1"/>
          <w:rtl w:val="0"/>
        </w:rPr>
        <w:t xml:space="preserve">Producción:</w:t>
      </w:r>
      <w:r w:rsidDel="00000000" w:rsidR="00000000" w:rsidRPr="00000000">
        <w:rPr>
          <w:color w:val="0288d1"/>
          <w:rtl w:val="0"/>
        </w:rPr>
        <w:t xml:space="preserve"> expresión oral y escrita individual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>
          <w:i w:val="1"/>
          <w:iCs w:val="1"/>
          <w:color w:val="0288d1"/>
        </w:rPr>
      </w:pPr>
      <w:r w:rsidDel="00000000" w:rsidR="00000000" w:rsidRPr="00000000">
        <w:rPr>
          <w:i w:val="1"/>
          <w:iCs w:val="1"/>
          <w:color w:val="0288d1"/>
          <w:rtl w:val="0"/>
        </w:rPr>
        <w:t xml:space="preserve">Estas categorías describen </w:t>
      </w:r>
      <w:r w:rsidDel="00000000" w:rsidR="00000000" w:rsidRPr="00000000">
        <w:rPr>
          <w:b w:val="1"/>
          <w:bCs w:val="1"/>
          <w:i w:val="1"/>
          <w:iCs w:val="1"/>
          <w:color w:val="0288d1"/>
          <w:rtl w:val="0"/>
        </w:rPr>
        <w:t xml:space="preserve">formas de uso del idioma</w:t>
      </w:r>
      <w:r w:rsidDel="00000000" w:rsidR="00000000" w:rsidRPr="00000000">
        <w:rPr>
          <w:i w:val="1"/>
          <w:iCs w:val="1"/>
          <w:color w:val="0288d1"/>
          <w:rtl w:val="0"/>
        </w:rPr>
        <w:t xml:space="preserve">, no etapas de enseñanza ni estructuras de clase.</w:t>
      </w:r>
    </w:p>
    <w:p w:rsidR="00000000" w:rsidDel="00000000" w:rsidP="00000000" w:rsidRDefault="00000000" w:rsidRPr="00000000" w14:paraId="00000086">
      <w:pPr>
        <w:pStyle w:val="Heading2"/>
        <w:spacing w:after="80" w:before="360" w:line="312" w:lineRule="auto"/>
        <w:rPr>
          <w:rFonts w:ascii="Roboto" w:cs="Roboto" w:eastAsia="Roboto" w:hAnsi="Roboto"/>
          <w:b w:val="1"/>
          <w:bCs w:val="1"/>
          <w:color w:val="0288d1"/>
          <w:sz w:val="34"/>
          <w:szCs w:val="34"/>
        </w:rPr>
      </w:pPr>
      <w:bookmarkStart w:colFirst="0" w:colLast="0" w:name="_3ny4drap8i5l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288d1"/>
          <w:sz w:val="34"/>
          <w:szCs w:val="34"/>
          <w:rtl w:val="0"/>
        </w:rPr>
        <w:t xml:space="preserve">8. ¿Cómo usar este documento?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Este CEFR – EWE Overview debe utilizarse como: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Documento de referencia académica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Punto común de lenguaje y criterios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288d1"/>
        </w:rPr>
      </w:pPr>
      <w:r w:rsidDel="00000000" w:rsidR="00000000" w:rsidRPr="00000000">
        <w:rPr>
          <w:color w:val="0288d1"/>
          <w:rtl w:val="0"/>
        </w:rPr>
        <w:t xml:space="preserve">Anclaje conceptual previo al </w:t>
      </w:r>
      <w:r w:rsidDel="00000000" w:rsidR="00000000" w:rsidRPr="00000000">
        <w:rPr>
          <w:b w:val="1"/>
          <w:bCs w:val="1"/>
          <w:i w:val="1"/>
          <w:iCs w:val="1"/>
          <w:color w:val="0288d1"/>
          <w:rtl w:val="0"/>
        </w:rPr>
        <w:t xml:space="preserve">Manual del Profesor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>
          <w:color w:val="d13a3a"/>
          <w:sz w:val="20"/>
          <w:szCs w:val="20"/>
        </w:rPr>
      </w:pPr>
      <w:r w:rsidDel="00000000" w:rsidR="00000000" w:rsidRPr="00000000">
        <w:rPr>
          <w:color w:val="0288d1"/>
          <w:rtl w:val="0"/>
        </w:rPr>
        <w:t xml:space="preserve">Para conocer la metodología, la estructura de clase, el diseño de actividades, la corrección, la retroalimentación y los criterios de observación, el profesor debe consultar el 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Manual del Profesor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color w:val="d13a3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color w:val="d13a3a"/>
          <w:sz w:val="20"/>
          <w:szCs w:val="20"/>
        </w:rPr>
      </w:pPr>
      <w:r w:rsidDel="00000000" w:rsidR="00000000" w:rsidRPr="00000000">
        <w:rPr>
          <w:i w:val="1"/>
          <w:iCs w:val="1"/>
          <w:color w:val="0288d1"/>
          <w:rtl w:val="0"/>
        </w:rPr>
        <w:t xml:space="preserve">“Este documento no sustituye el syllabus ni los cuadernos académicos.”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i w:val="1"/>
          <w:iCs w:val="1"/>
          <w:color w:val="0288d1"/>
        </w:rPr>
      </w:pPr>
      <w:r w:rsidDel="00000000" w:rsidR="00000000" w:rsidRPr="00000000">
        <w:rPr>
          <w:i w:val="1"/>
          <w:iCs w:val="1"/>
          <w:color w:val="0288d1"/>
          <w:rtl w:val="0"/>
        </w:rPr>
        <w:t xml:space="preserve">Este documento define </w:t>
      </w:r>
      <w:r w:rsidDel="00000000" w:rsidR="00000000" w:rsidRPr="00000000">
        <w:rPr>
          <w:b w:val="1"/>
          <w:bCs w:val="1"/>
          <w:i w:val="1"/>
          <w:iCs w:val="1"/>
          <w:color w:val="0288d1"/>
          <w:rtl w:val="0"/>
        </w:rPr>
        <w:t xml:space="preserve">el destino</w:t>
      </w:r>
      <w:r w:rsidDel="00000000" w:rsidR="00000000" w:rsidRPr="00000000">
        <w:rPr>
          <w:i w:val="1"/>
          <w:iCs w:val="1"/>
          <w:color w:val="0288d1"/>
          <w:rtl w:val="0"/>
        </w:rPr>
        <w:t xml:space="preserve"> del aprendizaje.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i w:val="1"/>
          <w:iCs w:val="1"/>
          <w:color w:val="0288d1"/>
        </w:rPr>
      </w:pPr>
      <w:r w:rsidDel="00000000" w:rsidR="00000000" w:rsidRPr="00000000">
        <w:rPr>
          <w:i w:val="1"/>
          <w:iCs w:val="1"/>
          <w:color w:val="0288d1"/>
          <w:rtl w:val="0"/>
        </w:rPr>
        <w:t xml:space="preserve">El Manual del Profesor EWE define </w:t>
      </w:r>
      <w:r w:rsidDel="00000000" w:rsidR="00000000" w:rsidRPr="00000000">
        <w:rPr>
          <w:b w:val="1"/>
          <w:bCs w:val="1"/>
          <w:i w:val="1"/>
          <w:iCs w:val="1"/>
          <w:color w:val="0288d1"/>
          <w:rtl w:val="0"/>
        </w:rPr>
        <w:t xml:space="preserve">el camino</w:t>
      </w:r>
      <w:r w:rsidDel="00000000" w:rsidR="00000000" w:rsidRPr="00000000">
        <w:rPr>
          <w:i w:val="1"/>
          <w:iCs w:val="1"/>
          <w:color w:val="0288d1"/>
          <w:rtl w:val="0"/>
        </w:rPr>
        <w:t xml:space="preserve"> para llegar a él.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i w:val="1"/>
          <w:iCs w:val="1"/>
          <w:color w:val="0288d1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1080" w:top="1080" w:left="1440" w:right="1440" w:header="113.38582677165356" w:footer="113.38582677165356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Lexend Medium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hanging="15"/>
      <w:jc w:val="right"/>
      <w:rPr>
        <w:rFonts w:ascii="Roboto Slab" w:cs="Roboto Slab" w:eastAsia="Roboto Slab" w:hAnsi="Roboto Slab"/>
        <w:b w:val="1"/>
        <w:bCs w:val="1"/>
        <w:color w:val="ee0000"/>
      </w:rPr>
    </w:pPr>
    <w:r w:rsidDel="00000000" w:rsidR="00000000" w:rsidRPr="00000000">
      <w:rPr>
        <w:rFonts w:ascii="Roboto Slab" w:cs="Roboto Slab" w:eastAsia="Roboto Slab" w:hAnsi="Roboto Slab"/>
        <w:b w:val="1"/>
        <w:bCs w:val="1"/>
        <w:color w:val="ee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ind w:hanging="15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jc w:val="right"/>
      <w:rPr>
        <w:rFonts w:ascii="Roboto Slab" w:cs="Roboto Slab" w:eastAsia="Roboto Slab" w:hAnsi="Roboto Slab"/>
        <w:color w:val="ee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es_419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rFonts w:ascii="Roboto Slab" w:cs="Roboto Slab" w:eastAsia="Roboto Slab" w:hAnsi="Roboto Slab"/>
      <w:b w:val="1"/>
      <w:bCs w:val="1"/>
      <w:color w:val="63a600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120" w:line="240" w:lineRule="auto"/>
    </w:pPr>
    <w:rPr>
      <w:rFonts w:ascii="Roboto Slab" w:cs="Roboto Slab" w:eastAsia="Roboto Slab" w:hAnsi="Roboto Slab"/>
      <w:color w:val="029aed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Roboto Slab" w:cs="Roboto Slab" w:eastAsia="Roboto Slab" w:hAnsi="Roboto Slab"/>
      <w:color w:val="ff5722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  <w:ind w:hanging="15"/>
      <w:jc w:val="center"/>
    </w:pPr>
    <w:rPr>
      <w:rFonts w:ascii="Roboto Slab" w:cs="Roboto Slab" w:eastAsia="Roboto Slab" w:hAnsi="Roboto Slab"/>
      <w:b w:val="1"/>
      <w:bCs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after="400" w:before="400" w:lineRule="auto"/>
      <w:jc w:val="center"/>
    </w:pPr>
    <w:rPr>
      <w:i w:val="1"/>
      <w:iCs w:val="1"/>
      <w:color w:val="666666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hyperlink" Target="https://docs.google.com/document/u/0/d/19MPuXaZ4U5Hts_EWT9-lxdPoGEic0vX49vG5oI18pxc/edit" TargetMode="External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footer" Target="footer2.xml"/><Relationship Id="rId7" Type="http://schemas.openxmlformats.org/officeDocument/2006/relationships/hyperlink" Target="https://docs.google.com/document/u/0/d/19MPuXaZ4U5Hts_EWT9-lxdPoGEic0vX49vG5oI18pxc/edit" TargetMode="External"/><Relationship Id="rId8" Type="http://schemas.openxmlformats.org/officeDocument/2006/relationships/hyperlink" Target="https://docs.google.com/document/u/0/d/19MPuXaZ4U5Hts_EWT9-lxdPoGEic0vX49vG5oI18pxc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LexendMedium-regular.ttf"/><Relationship Id="rId8" Type="http://schemas.openxmlformats.org/officeDocument/2006/relationships/font" Target="fonts/LexendMedium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