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jpg" ContentType="image/jpeg"/>
  <Override PartName="/word/media/rId15.jpg" ContentType="image/jpeg"/>
  <Override PartName="/word/media/rId27.jpg" ContentType="image/jpeg"/>
  <Override PartName="/word/media/rId34.jpg" ContentType="image/jpeg"/>
  <Override PartName="/word/media/rId40.jpg" ContentType="image/jpeg"/>
  <Override PartName="/word/media/rId49.jpg" ContentType="image/jpeg"/>
  <Override PartName="/word/media/rId58.jpg" ContentType="image/jpeg"/>
  <Override PartName="/word/media/rId63.jpg" ContentType="image/jpeg"/>
  <Override PartName="/word/media/rId69.jpg" ContentType="image/jpeg"/>
  <Override PartName="/word/media/rId79.jpg" ContentType="image/jpeg"/>
  <Override PartName="/word/media/rId91.jpg" ContentType="image/jpeg"/>
  <Override PartName="/word/media/rId95.jpg" ContentType="image/jpeg"/>
  <Override PartName="/word/media/rId100.jpg" ContentType="image/jpeg"/>
  <Override PartName="/word/media/rId107.jpg" ContentType="image/jpeg"/>
  <Override PartName="/word/media/rId115.jpg" ContentType="image/jpeg"/>
  <Override PartName="/word/media/rId123.jpg" ContentType="image/jpeg"/>
  <Override PartName="/word/media/rId132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Market Intelligence Hub — User Manual</w:t>
      </w:r>
    </w:p>
    <w:p>
      <w:pPr>
        <w:pStyle w:val="Subtitle"/>
      </w:pPr>
      <w:r>
        <w:t xml:space="preserve">Prysmian × EY · AI-powered always-on intelligence platform</w:t>
      </w:r>
    </w:p>
    <w:p>
      <w:pPr>
        <w:pStyle w:val="Author"/>
      </w:pPr>
      <w:r>
        <w:t xml:space="preserve">EY for Prysmian Group</w:t>
      </w:r>
    </w:p>
    <w:p>
      <w:pPr>
        <w:pStyle w:val="Date"/>
      </w:pPr>
      <w:r>
        <w:t xml:space="preserve">May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Market Intelligence Hub</w:t>
      </w:r>
      <w:r>
        <w:t xml:space="preserve"> </w:t>
      </w:r>
      <w:r>
        <w:t xml:space="preserve">is an AI-powered platform that aggregates, curates and distributes reliable market intelligence to Prysmian’s business units. It transforms scattered Excel files, news feeds and CRM/ERP data into a single source of truth, with audit-grade traceability and always-on AI agents that monitor the market on your behalf.</w:t>
      </w:r>
    </w:p>
    <w:p>
      <w:pPr>
        <w:pStyle w:val="BodyText"/>
      </w:pPr>
      <w:r>
        <w:rPr>
          <w:b/>
          <w:bCs/>
        </w:rPr>
        <w:t xml:space="preserve">What it does, in one sentence:</w:t>
      </w:r>
      <w:r>
        <w:t xml:space="preserve"> </w:t>
      </w:r>
      <w:r>
        <w:t xml:space="preserve">six AI agents continuously scan public sources (news, mining projects, KPI signals, competitor moves, customer events) and write back</w:t>
      </w:r>
      <w:r>
        <w:t xml:space="preserve"> </w:t>
      </w:r>
      <w:r>
        <w:rPr>
          <w:i/>
          <w:iCs/>
        </w:rPr>
        <w:t xml:space="preserve">evidence-backed insights</w:t>
      </w:r>
      <w:r>
        <w:t xml:space="preserve"> </w:t>
      </w:r>
      <w:r>
        <w:t xml:space="preserve">into a central Hub, where the MI team can validate them before they reach the wider organization.</w:t>
      </w:r>
    </w:p>
    <w:p>
      <w:pPr>
        <w:pStyle w:val="BodyText"/>
      </w:pPr>
      <w:r>
        <w:rPr>
          <w:b/>
          <w:bCs/>
        </w:rPr>
        <w:t xml:space="preserve">Who it’s for: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 team</w:t>
      </w:r>
      <w:r>
        <w:t xml:space="preserve"> </w:t>
      </w:r>
      <w:r>
        <w:t xml:space="preserve">— review and validate AI drafts before publishing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Country managers / BU leads</w:t>
      </w:r>
      <w:r>
        <w:t xml:space="preserve"> </w:t>
      </w:r>
      <w:r>
        <w:t xml:space="preserve">— daily intelligence on their geography and product line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Sales</w:t>
      </w:r>
      <w:r>
        <w:t xml:space="preserve"> </w:t>
      </w:r>
      <w:r>
        <w:t xml:space="preserve">— Share-of-Wallet insight on key customers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Executives</w:t>
      </w:r>
      <w:r>
        <w:t xml:space="preserve"> </w:t>
      </w:r>
      <w:r>
        <w:t xml:space="preserve">— high-level dashboards and alerts</w:t>
      </w:r>
    </w:p>
    <w:p>
      <w:pPr>
        <w:pStyle w:val="BodyText"/>
      </w:pPr>
      <w:r>
        <w:t xml:space="preserve">This manual covers every screen and every function in the demo build.</w:t>
      </w:r>
    </w:p>
    <w:p>
      <w:r>
        <w:pict>
          <v:rect style="width:0;height:1.5pt" o:hralign="center" o:hrstd="t" o:hr="t"/>
        </w:pict>
      </w:r>
    </w:p>
    <w:bookmarkEnd w:id="9"/>
    <w:bookmarkStart w:id="14" w:name="accessing-the-platform"/>
    <w:p>
      <w:pPr>
        <w:pStyle w:val="Heading1"/>
      </w:pPr>
      <w:r>
        <w:t xml:space="preserve">2. Accessing the platform</w:t>
      </w:r>
    </w:p>
    <w:p>
      <w:pPr>
        <w:pStyle w:val="FirstParagraph"/>
      </w:pPr>
      <w:r>
        <w:t xml:space="preserve">The platform is web-based — open it in any modern browser (Chrome, Edge, Firefox, Safari).</w:t>
      </w:r>
    </w:p>
    <w:p>
      <w:pPr>
        <w:pStyle w:val="BodyText"/>
      </w:pPr>
      <w:r>
        <w:rPr>
          <w:b/>
          <w:bCs/>
        </w:rPr>
        <w:t xml:space="preserve">Demo URL:</w:t>
      </w:r>
      <w:r>
        <w:t xml:space="preserve"> </w:t>
      </w:r>
      <w:r>
        <w:rPr>
          <w:rStyle w:val="VerbatimChar"/>
        </w:rPr>
        <w:t xml:space="preserve">https://mi-hub-web.onrender.com</w:t>
      </w:r>
    </w:p>
    <w:bookmarkStart w:id="13" w:name="login"/>
    <w:p>
      <w:pPr>
        <w:pStyle w:val="Heading2"/>
      </w:pPr>
      <w:r>
        <w:t xml:space="preserve">2.1 Login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Login screen" title="" id="11" name="Picture"/>
            <a:graphic>
              <a:graphicData uri="http://schemas.openxmlformats.org/drawingml/2006/picture">
                <pic:pic>
                  <pic:nvPicPr>
                    <pic:cNvPr descr="manual-screenshots/01-login.jp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Login screen</w:t>
      </w:r>
    </w:p>
    <w:p>
      <w:pPr>
        <w:pStyle w:val="BodyText"/>
      </w:pPr>
      <w:r>
        <w:t xml:space="preserve">The split-screen login shows: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Left panel</w:t>
      </w:r>
      <w:r>
        <w:t xml:space="preserve"> </w:t>
      </w:r>
      <w:r>
        <w:t xml:space="preserve">— branded hero with the Market Intelligence Hub value proposition: 6 always-on AI agents, EU AI Act ready, audit-grade evidence trail.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Right panel</w:t>
      </w:r>
      <w:r>
        <w:t xml:space="preserve"> </w:t>
      </w:r>
      <w:r>
        <w:t xml:space="preserve">— sign-in form: email + password,</w:t>
      </w:r>
      <w:r>
        <w:t xml:space="preserve"> </w:t>
      </w:r>
      <w:r>
        <w:t xml:space="preserve">“Remember me”</w:t>
      </w:r>
      <w:r>
        <w:t xml:space="preserve"> </w:t>
      </w:r>
      <w:r>
        <w:t xml:space="preserve">checkbox,</w:t>
      </w:r>
      <w:r>
        <w:t xml:space="preserve"> </w:t>
      </w:r>
      <w:r>
        <w:t xml:space="preserve">“Forgot password?”</w:t>
      </w:r>
      <w:r>
        <w:t xml:space="preserve"> </w:t>
      </w:r>
      <w:r>
        <w:t xml:space="preserve">link.</w:t>
      </w:r>
    </w:p>
    <w:p>
      <w:pPr>
        <w:pStyle w:val="FirstParagraph"/>
      </w:pPr>
      <w:r>
        <w:t xml:space="preserve">In production this will use</w:t>
      </w:r>
      <w:r>
        <w:t xml:space="preserve"> </w:t>
      </w:r>
      <w:r>
        <w:rPr>
          <w:b/>
          <w:bCs/>
        </w:rPr>
        <w:t xml:space="preserve">Azure Entra ID (SSO)</w:t>
      </w:r>
      <w:r>
        <w:t xml:space="preserve">. In the demo build any non-empty email + password is accepted.</w:t>
      </w:r>
    </w:p>
    <w:p>
      <w:pPr>
        <w:pStyle w:val="BodyText"/>
      </w:pPr>
      <w:r>
        <w:rPr>
          <w:b/>
          <w:bCs/>
        </w:rPr>
        <w:t xml:space="preserve">To sign in:</w:t>
      </w:r>
      <w:r>
        <w:t xml:space="preserve"> </w:t>
      </w:r>
      <w:r>
        <w:t xml:space="preserve">1. Enter your corporate email</w:t>
      </w:r>
      <w:r>
        <w:t xml:space="preserve"> </w:t>
      </w:r>
      <w:r>
        <w:t xml:space="preserve">2. Enter your password</w:t>
      </w:r>
      <w:r>
        <w:t xml:space="preserve"> </w:t>
      </w:r>
      <w:r>
        <w:t xml:space="preserve">3. Click</w:t>
      </w:r>
      <w:r>
        <w:t xml:space="preserve"> </w:t>
      </w:r>
      <w:r>
        <w:rPr>
          <w:b/>
          <w:bCs/>
        </w:rPr>
        <w:t xml:space="preserve">Sign in</w:t>
      </w:r>
    </w:p>
    <w:p>
      <w:pPr>
        <w:pStyle w:val="BlockText"/>
      </w:pPr>
      <w:r>
        <w:t xml:space="preserve">💡 The demo banner under the button reminds you that demo credentials are not validated. Production uses SSO with role-based access control (RBAC).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6" w:name="the-dashboard"/>
    <w:p>
      <w:pPr>
        <w:pStyle w:val="Heading1"/>
      </w:pPr>
      <w:r>
        <w:t xml:space="preserve">3. The Dashboard</w:t>
      </w:r>
    </w:p>
    <w:p>
      <w:pPr>
        <w:pStyle w:val="FirstParagraph"/>
      </w:pPr>
      <w:r>
        <w:t xml:space="preserve">After login you land on the</w:t>
      </w:r>
      <w:r>
        <w:t xml:space="preserve"> </w:t>
      </w:r>
      <w:r>
        <w:rPr>
          <w:b/>
          <w:bCs/>
        </w:rPr>
        <w:t xml:space="preserve">Dashboard</w:t>
      </w:r>
      <w:r>
        <w:t xml:space="preserve"> </w:t>
      </w:r>
      <w:r>
        <w:t xml:space="preserve">— your daily briefing screen.</w:t>
      </w:r>
    </w:p>
    <w:p>
      <w:pPr>
        <w:pStyle w:val="CaptionedFigure"/>
      </w:pPr>
      <w:r>
        <w:drawing>
          <wp:inline>
            <wp:extent cx="5334000" cy="5737754"/>
            <wp:effectExtent b="0" l="0" r="0" t="0"/>
            <wp:docPr descr="Dashboard" title="" id="16" name="Picture"/>
            <a:graphic>
              <a:graphicData uri="http://schemas.openxmlformats.org/drawingml/2006/picture">
                <pic:pic>
                  <pic:nvPicPr>
                    <pic:cNvPr descr="manual-screenshots/02-dashboard.jp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377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Dashboard</w:t>
      </w:r>
    </w:p>
    <w:bookmarkStart w:id="25" w:name="page-anatomy"/>
    <w:p>
      <w:pPr>
        <w:pStyle w:val="Heading2"/>
      </w:pPr>
      <w:r>
        <w:t xml:space="preserve">3.1 Page anatomy</w:t>
      </w:r>
    </w:p>
    <w:bookmarkStart w:id="18" w:name="left-sidebar-navigation"/>
    <w:p>
      <w:pPr>
        <w:pStyle w:val="Heading3"/>
      </w:pPr>
      <w:r>
        <w:t xml:space="preserve">3.1.1 Left sidebar — navigation</w:t>
      </w:r>
    </w:p>
    <w:p>
      <w:pPr>
        <w:pStyle w:val="FirstParagraph"/>
      </w:pPr>
      <w:r>
        <w:t xml:space="preserve">The sidebar is split into two groups: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Workspace</w:t>
      </w:r>
      <w:r>
        <w:t xml:space="preserve"> </w:t>
      </w:r>
      <w:r>
        <w:t xml:space="preserve">(operational tasks)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Dashboard</w:t>
      </w:r>
      <w:r>
        <w:t xml:space="preserve"> </w:t>
      </w:r>
      <w:r>
        <w:t xml:space="preserve">— this screen, the daily briefing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Review queue</w:t>
      </w:r>
      <w:r>
        <w:t xml:space="preserve"> </w:t>
      </w:r>
      <w:r>
        <w:t xml:space="preserve">— AI drafts awaiting your validation, with a badge counter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Alerts</w:t>
      </w:r>
      <w:r>
        <w:t xml:space="preserve"> </w:t>
      </w:r>
      <w:r>
        <w:t xml:space="preserve">— triggered alerts (KPI deviations, competitor moves), with unread counter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AI Agents</w:t>
      </w:r>
      <w:r>
        <w:t xml:space="preserve"> </w:t>
      </w:r>
      <w:r>
        <w:t xml:space="preserve">— control center for the 6 monitoring agents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Intelligence</w:t>
      </w:r>
      <w:r>
        <w:t xml:space="preserve"> </w:t>
      </w:r>
      <w:r>
        <w:t xml:space="preserve">(data exploration)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Country ID</w:t>
      </w:r>
      <w:r>
        <w:t xml:space="preserve"> </w:t>
      </w:r>
      <w:r>
        <w:t xml:space="preserve">— per-country deep-dive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Compare</w:t>
      </w:r>
      <w:r>
        <w:t xml:space="preserve"> </w:t>
      </w:r>
      <w:r>
        <w:t xml:space="preserve">— side-by-side country comparison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Market Trends</w:t>
      </w:r>
      <w:r>
        <w:t xml:space="preserve"> </w:t>
      </w:r>
      <w:r>
        <w:t xml:space="preserve">— commodities, GDP, construction indicators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News &amp; Reports</w:t>
      </w:r>
      <w:r>
        <w:t xml:space="preserve"> </w:t>
      </w:r>
      <w:r>
        <w:t xml:space="preserve">— full news feed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Projects</w:t>
      </w:r>
      <w:r>
        <w:t xml:space="preserve"> </w:t>
      </w:r>
      <w:r>
        <w:t xml:space="preserve">— mining/grid project pipeline</w:t>
      </w:r>
    </w:p>
    <w:p>
      <w:pPr>
        <w:pStyle w:val="FirstParagraph"/>
      </w:pPr>
      <w:r>
        <w:t xml:space="preserve">The active page is highlighted in</w:t>
      </w:r>
      <w:r>
        <w:t xml:space="preserve"> </w:t>
      </w:r>
      <w:r>
        <w:rPr>
          <w:b/>
          <w:bCs/>
        </w:rPr>
        <w:t xml:space="preserve">Prysmian green</w:t>
      </w:r>
      <w:r>
        <w:t xml:space="preserve">. The user pod at the bottom shows your initials and email with a one-click</w:t>
      </w:r>
      <w:r>
        <w:t xml:space="preserve"> </w:t>
      </w:r>
      <w:r>
        <w:rPr>
          <w:b/>
          <w:bCs/>
        </w:rPr>
        <w:t xml:space="preserve">Logout</w:t>
      </w:r>
      <w:r>
        <w:t xml:space="preserve"> </w:t>
      </w:r>
      <w:r>
        <w:t xml:space="preserve">button.</w:t>
      </w:r>
    </w:p>
    <w:bookmarkEnd w:id="18"/>
    <w:bookmarkStart w:id="19" w:name="top-bar-search-and-notifications"/>
    <w:p>
      <w:pPr>
        <w:pStyle w:val="Heading3"/>
      </w:pPr>
      <w:r>
        <w:t xml:space="preserve">3.1.2 Top bar — search and notifications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Search bar</w:t>
      </w:r>
      <w:r>
        <w:t xml:space="preserve"> </w:t>
      </w:r>
      <w:r>
        <w:t xml:space="preserve">— click or press</w:t>
      </w:r>
      <w:r>
        <w:t xml:space="preserve"> </w:t>
      </w:r>
      <w:r>
        <w:rPr>
          <w:b/>
          <w:bCs/>
        </w:rPr>
        <w:t xml:space="preserve">⌘K</w:t>
      </w:r>
      <w:r>
        <w:t xml:space="preserve"> </w:t>
      </w:r>
      <w:r>
        <w:t xml:space="preserve">(Mac) /</w:t>
      </w:r>
      <w:r>
        <w:t xml:space="preserve"> </w:t>
      </w:r>
      <w:r>
        <w:rPr>
          <w:b/>
          <w:bCs/>
        </w:rPr>
        <w:t xml:space="preserve">Ctrl+K</w:t>
      </w:r>
      <w:r>
        <w:t xml:space="preserve"> </w:t>
      </w:r>
      <w:r>
        <w:t xml:space="preserve">(Windows) to open the global search palette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Bell icon</w:t>
      </w:r>
      <w:r>
        <w:t xml:space="preserve"> </w:t>
      </w:r>
      <w:r>
        <w:t xml:space="preserve">— quick notifications shortcut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Prysmian logo</w:t>
      </w:r>
      <w:r>
        <w:t xml:space="preserve"> </w:t>
      </w:r>
      <w:r>
        <w:t xml:space="preserve">— top right</w:t>
      </w:r>
    </w:p>
    <w:bookmarkEnd w:id="19"/>
    <w:bookmarkStart w:id="20" w:name="hero-greeting"/>
    <w:p>
      <w:pPr>
        <w:pStyle w:val="Heading3"/>
      </w:pPr>
      <w:r>
        <w:t xml:space="preserve">3.1.3 Hero greeting</w:t>
      </w:r>
    </w:p>
    <w:p>
      <w:pPr>
        <w:pStyle w:val="FirstParagraph"/>
      </w:pPr>
      <w:r>
        <w:t xml:space="preserve">The header welcomes you by name with the current time-of-day greeting (</w:t>
      </w:r>
      <w:r>
        <w:t xml:space="preserve">“Good morning / afternoon / evening,</w:t>
      </w:r>
      <w:r>
        <w:t xml:space="preserve"> </w:t>
      </w:r>
      <w:r>
        <w:rPr>
          <w:i/>
          <w:iCs/>
        </w:rPr>
        <w:t xml:space="preserve">Your Name</w:t>
      </w:r>
      <w:r>
        <w:t xml:space="preserve">”</w:t>
      </w:r>
      <w:r>
        <w:t xml:space="preserve">). The</w:t>
      </w:r>
      <w:r>
        <w:t xml:space="preserve"> </w:t>
      </w:r>
      <w:r>
        <w:t xml:space="preserve">“Live · AI agents active”</w:t>
      </w:r>
      <w:r>
        <w:t xml:space="preserve"> </w:t>
      </w:r>
      <w:r>
        <w:t xml:space="preserve">badge confirms the AI is running in the background. Two quick-action buttons take you to today’s market brief and the mining pipeline.</w:t>
      </w:r>
    </w:p>
    <w:bookmarkEnd w:id="20"/>
    <w:bookmarkStart w:id="21" w:name="todays-ai-brief"/>
    <w:p>
      <w:pPr>
        <w:pStyle w:val="Heading3"/>
      </w:pPr>
      <w:r>
        <w:t xml:space="preserve">3.1.4 Today’s AI Brief</w:t>
      </w:r>
    </w:p>
    <w:p>
      <w:pPr>
        <w:pStyle w:val="FirstParagraph"/>
      </w:pPr>
      <w:r>
        <w:t xml:space="preserve">A green-bordered card auto-generates a one-paragraph executive summary using live numbers from the database. It cites:</w:t>
      </w:r>
    </w:p>
    <w:p>
      <w:pPr>
        <w:pStyle w:val="Compact"/>
        <w:numPr>
          <w:ilvl w:val="0"/>
          <w:numId w:val="1006"/>
        </w:numPr>
      </w:pPr>
      <w:r>
        <w:t xml:space="preserve">Number of news items and projects surfaced by agents</w:t>
      </w:r>
    </w:p>
    <w:p>
      <w:pPr>
        <w:pStyle w:val="Compact"/>
        <w:numPr>
          <w:ilvl w:val="0"/>
          <w:numId w:val="1006"/>
        </w:numPr>
      </w:pPr>
      <w:r>
        <w:t xml:space="preserve">Drafts awaiting MI team validation</w:t>
      </w:r>
    </w:p>
    <w:p>
      <w:pPr>
        <w:pStyle w:val="Compact"/>
        <w:numPr>
          <w:ilvl w:val="0"/>
          <w:numId w:val="1006"/>
        </w:numPr>
      </w:pPr>
      <w:r>
        <w:t xml:space="preserve">High-severity alerts triggered</w:t>
      </w:r>
    </w:p>
    <w:p>
      <w:pPr>
        <w:pStyle w:val="Compact"/>
        <w:numPr>
          <w:ilvl w:val="0"/>
          <w:numId w:val="1006"/>
        </w:numPr>
      </w:pPr>
      <w:r>
        <w:t xml:space="preserve">Headline market signal (e.g., copper momentum)</w:t>
      </w:r>
    </w:p>
    <w:p>
      <w:pPr>
        <w:pStyle w:val="FirstParagraph"/>
      </w:pPr>
      <w:r>
        <w:t xml:space="preserve">Three chip-links jump directly to the</w:t>
      </w:r>
      <w:r>
        <w:t xml:space="preserve"> </w:t>
      </w:r>
      <w:r>
        <w:rPr>
          <w:b/>
          <w:bCs/>
        </w:rPr>
        <w:t xml:space="preserve">Review queue</w:t>
      </w:r>
      <w:r>
        <w:t xml:space="preserve">,</w:t>
      </w:r>
      <w:r>
        <w:t xml:space="preserve"> </w:t>
      </w:r>
      <w:r>
        <w:rPr>
          <w:b/>
          <w:bCs/>
        </w:rPr>
        <w:t xml:space="preserve">Alerts inbox</w:t>
      </w:r>
      <w:r>
        <w:t xml:space="preserve">, and</w:t>
      </w:r>
      <w:r>
        <w:t xml:space="preserve"> </w:t>
      </w:r>
      <w:r>
        <w:rPr>
          <w:b/>
          <w:bCs/>
        </w:rPr>
        <w:t xml:space="preserve">Agents</w:t>
      </w:r>
      <w:r>
        <w:t xml:space="preserve"> </w:t>
      </w:r>
      <w:r>
        <w:t xml:space="preserve">page — these are your one-click entry points to take action.</w:t>
      </w:r>
    </w:p>
    <w:p>
      <w:pPr>
        <w:pStyle w:val="BlockText"/>
      </w:pPr>
      <w:r>
        <w:t xml:space="preserve">The brief regenerates every page load and is timestamped (top right). The</w:t>
      </w:r>
      <w:r>
        <w:t xml:space="preserve"> </w:t>
      </w:r>
      <w:r>
        <w:rPr>
          <w:rStyle w:val="VerbatimChar"/>
        </w:rPr>
        <w:t xml:space="preserve">evidence-backed</w:t>
      </w:r>
      <w:r>
        <w:t xml:space="preserve"> </w:t>
      </w:r>
      <w:r>
        <w:t xml:space="preserve">badge indicates every claim is traceable to a source.</w:t>
      </w:r>
    </w:p>
    <w:bookmarkEnd w:id="21"/>
    <w:bookmarkStart w:id="22" w:name="kpi-strip"/>
    <w:p>
      <w:pPr>
        <w:pStyle w:val="Heading3"/>
      </w:pPr>
      <w:r>
        <w:t xml:space="preserve">3.1.5 KPI strip</w:t>
      </w:r>
    </w:p>
    <w:p>
      <w:pPr>
        <w:pStyle w:val="FirstParagraph"/>
      </w:pPr>
      <w:r>
        <w:t xml:space="preserve">Four headline metrics: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What it shows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Mining projects</w:t>
            </w:r>
          </w:p>
        </w:tc>
        <w:tc>
          <w:tcPr/>
          <w:p>
            <w:pPr>
              <w:pStyle w:val="Compact"/>
            </w:pPr>
            <w:r>
              <w:t xml:space="preserve">Total in the database, with quarterly delta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 tracked (30d)</w:t>
            </w:r>
          </w:p>
        </w:tc>
        <w:tc>
          <w:tcPr/>
          <w:p>
            <w:pPr>
              <w:pStyle w:val="Compact"/>
            </w:pPr>
            <w:r>
              <w:t xml:space="preserve">News items in the last 30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Countries covered</w:t>
            </w:r>
          </w:p>
        </w:tc>
        <w:tc>
          <w:tcPr/>
          <w:p>
            <w:pPr>
              <w:pStyle w:val="Compact"/>
            </w:pPr>
            <w:r>
              <w:t xml:space="preserve">EU footprint (expanding to MENA in Phase 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confidence</w:t>
            </w:r>
          </w:p>
        </w:tc>
        <w:tc>
          <w:tcPr/>
          <w:p>
            <w:pPr>
              <w:pStyle w:val="Compact"/>
            </w:pPr>
            <w:r>
              <w:t xml:space="preserve">Average evidence score across AI outputs</w:t>
            </w:r>
          </w:p>
        </w:tc>
      </w:tr>
    </w:tbl>
    <w:p>
      <w:pPr>
        <w:pStyle w:val="BodyText"/>
      </w:pPr>
      <w:r>
        <w:t xml:space="preserve">Each KPI shows an arrow (▲ / ▼) and percentage delta when applicable.</w:t>
      </w:r>
    </w:p>
    <w:bookmarkEnd w:id="22"/>
    <w:bookmarkStart w:id="23" w:name="latest-intelligence-feed"/>
    <w:p>
      <w:pPr>
        <w:pStyle w:val="Heading3"/>
      </w:pPr>
      <w:r>
        <w:t xml:space="preserve">3.1.6 Latest intelligence feed</w:t>
      </w:r>
    </w:p>
    <w:p>
      <w:pPr>
        <w:pStyle w:val="FirstParagraph"/>
      </w:pPr>
      <w:r>
        <w:t xml:space="preserve">The two-column workspace block: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Left (large)</w:t>
      </w:r>
      <w:r>
        <w:t xml:space="preserve"> </w:t>
      </w:r>
      <w:r>
        <w:t xml:space="preserve">— AI-curated news with source, country tags, age, headline and 2-line summary. Click any item to open the source URL.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Right (small)</w:t>
      </w:r>
      <w:r>
        <w:t xml:space="preserve"> </w:t>
      </w:r>
      <w:r>
        <w:t xml:space="preserve">—</w:t>
      </w:r>
      <w:r>
        <w:t xml:space="preserve"> </w:t>
      </w:r>
      <w:r>
        <w:t xml:space="preserve">“Flagged projects”</w:t>
      </w:r>
      <w:r>
        <w:t xml:space="preserve"> </w:t>
      </w:r>
      <w:r>
        <w:t xml:space="preserve">mini-list (strategic interest only), plus the</w:t>
      </w:r>
      <w:r>
        <w:t xml:space="preserve"> </w:t>
      </w:r>
      <w:r>
        <w:rPr>
          <w:b/>
          <w:bCs/>
        </w:rPr>
        <w:t xml:space="preserve">EU AI Act compliance</w:t>
      </w:r>
      <w:r>
        <w:t xml:space="preserve"> </w:t>
      </w:r>
      <w:r>
        <w:t xml:space="preserve">info card reminding you that all AI outputs are evidence-backed.</w:t>
      </w:r>
    </w:p>
    <w:bookmarkEnd w:id="23"/>
    <w:bookmarkStart w:id="24" w:name="explore-cards"/>
    <w:p>
      <w:pPr>
        <w:pStyle w:val="Heading3"/>
      </w:pPr>
      <w:r>
        <w:t xml:space="preserve">3.1.7 Explore cards</w:t>
      </w:r>
    </w:p>
    <w:p>
      <w:pPr>
        <w:pStyle w:val="FirstParagraph"/>
      </w:pPr>
      <w:r>
        <w:t xml:space="preserve">Four shortcut cards (Country ID · Market Trends · News &amp; Reports · Project List) for quick navigation. Each shows a color-coded icon and one-line description.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33" w:name="global-search-k"/>
    <w:p>
      <w:pPr>
        <w:pStyle w:val="Heading1"/>
      </w:pPr>
      <w:r>
        <w:t xml:space="preserve">4. Global Search (⌘K)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Search palette" title="" id="28" name="Picture"/>
            <a:graphic>
              <a:graphicData uri="http://schemas.openxmlformats.org/drawingml/2006/picture">
                <pic:pic>
                  <pic:nvPicPr>
                    <pic:cNvPr descr="manual-screenshots/03-search-palette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Search palette</w:t>
      </w:r>
    </w:p>
    <w:p>
      <w:pPr>
        <w:pStyle w:val="BodyText"/>
      </w:pPr>
      <w:r>
        <w:t xml:space="preserve">The global search is available</w:t>
      </w:r>
      <w:r>
        <w:t xml:space="preserve"> </w:t>
      </w:r>
      <w:r>
        <w:rPr>
          <w:b/>
          <w:bCs/>
        </w:rPr>
        <w:t xml:space="preserve">on every screen</w:t>
      </w:r>
      <w:r>
        <w:t xml:space="preserve"> </w:t>
      </w:r>
      <w:r>
        <w:t xml:space="preserve">via the search bar in the header or the keyboard shortcut</w:t>
      </w:r>
      <w:r>
        <w:t xml:space="preserve"> </w:t>
      </w:r>
      <w:r>
        <w:rPr>
          <w:b/>
          <w:bCs/>
        </w:rPr>
        <w:t xml:space="preserve">⌘K</w:t>
      </w:r>
      <w:r>
        <w:t xml:space="preserve">.</w:t>
      </w:r>
    </w:p>
    <w:bookmarkStart w:id="30" w:name="how-it-works"/>
    <w:p>
      <w:pPr>
        <w:pStyle w:val="Heading2"/>
      </w:pPr>
      <w:r>
        <w:t xml:space="preserve">4.1 How it works</w:t>
      </w:r>
    </w:p>
    <w:p>
      <w:pPr>
        <w:pStyle w:val="Compact"/>
        <w:numPr>
          <w:ilvl w:val="0"/>
          <w:numId w:val="1008"/>
        </w:numPr>
      </w:pPr>
      <w:r>
        <w:t xml:space="preserve">Start typing (minimum 2 characters) — results stream as you type with a 180ms debounce</w:t>
      </w:r>
    </w:p>
    <w:p>
      <w:pPr>
        <w:pStyle w:val="Compact"/>
        <w:numPr>
          <w:ilvl w:val="0"/>
          <w:numId w:val="1008"/>
        </w:numPr>
      </w:pPr>
      <w:r>
        <w:t xml:space="preserve">Results are grouped by type:</w:t>
      </w:r>
      <w:r>
        <w:t xml:space="preserve"> </w:t>
      </w:r>
      <w:r>
        <w:rPr>
          <w:b/>
          <w:bCs/>
        </w:rPr>
        <w:t xml:space="preserve">Country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Project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News</w:t>
      </w:r>
    </w:p>
    <w:p>
      <w:pPr>
        <w:pStyle w:val="Compact"/>
        <w:numPr>
          <w:ilvl w:val="0"/>
          <w:numId w:val="1008"/>
        </w:numPr>
      </w:pPr>
      <w:r>
        <w:t xml:space="preserve">Each row shows a type icon, the item title, a sub-line (source/country/status), and a colored type chip</w:t>
      </w:r>
    </w:p>
    <w:bookmarkEnd w:id="30"/>
    <w:bookmarkStart w:id="31" w:name="keyboard-navigation"/>
    <w:p>
      <w:pPr>
        <w:pStyle w:val="Heading2"/>
      </w:pPr>
      <w:r>
        <w:t xml:space="preserve">4.2 Keyboard navigation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↑ / ↓</w:t>
            </w:r>
          </w:p>
        </w:tc>
        <w:tc>
          <w:tcPr/>
          <w:p>
            <w:pPr>
              <w:pStyle w:val="Compact"/>
            </w:pPr>
            <w:r>
              <w:t xml:space="preserve">Move selection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</w:t>
            </w:r>
          </w:p>
        </w:tc>
        <w:tc>
          <w:tcPr/>
          <w:p>
            <w:pPr>
              <w:pStyle w:val="Compact"/>
            </w:pPr>
            <w:r>
              <w:t xml:space="preserve">Open selected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</w:t>
            </w:r>
          </w:p>
        </w:tc>
        <w:tc>
          <w:tcPr/>
          <w:p>
            <w:pPr>
              <w:pStyle w:val="Compact"/>
            </w:pPr>
            <w:r>
              <w:t xml:space="preserve">Close the palette</w:t>
            </w:r>
          </w:p>
        </w:tc>
      </w:tr>
    </w:tbl>
    <w:p>
      <w:pPr>
        <w:pStyle w:val="BodyText"/>
      </w:pPr>
      <w:r>
        <w:t xml:space="preserve">Hovering with the mouse also moves the selection. Click a row to navigate directly to that page or open the source URL.</w:t>
      </w:r>
    </w:p>
    <w:bookmarkEnd w:id="31"/>
    <w:bookmarkStart w:id="32" w:name="suggested-queries"/>
    <w:p>
      <w:pPr>
        <w:pStyle w:val="Heading2"/>
      </w:pPr>
      <w:r>
        <w:t xml:space="preserve">4.3 Suggested queries</w:t>
      </w:r>
    </w:p>
    <w:p>
      <w:pPr>
        <w:pStyle w:val="FirstParagraph"/>
      </w:pPr>
      <w:r>
        <w:t xml:space="preserve">Try</w:t>
      </w:r>
      <w:r>
        <w:t xml:space="preserve"> </w:t>
      </w:r>
      <w:r>
        <w:rPr>
          <w:rStyle w:val="VerbatimChar"/>
        </w:rPr>
        <w:t xml:space="preserve">copper</w:t>
      </w:r>
      <w:r>
        <w:t xml:space="preserve">,</w:t>
      </w:r>
      <w:r>
        <w:t xml:space="preserve"> </w:t>
      </w:r>
      <w:r>
        <w:rPr>
          <w:rStyle w:val="VerbatimChar"/>
        </w:rPr>
        <w:t xml:space="preserve">Italy</w:t>
      </w:r>
      <w:r>
        <w:t xml:space="preserve">,</w:t>
      </w:r>
      <w:r>
        <w:t xml:space="preserve"> </w:t>
      </w:r>
      <w:r>
        <w:rPr>
          <w:rStyle w:val="VerbatimChar"/>
        </w:rPr>
        <w:t xml:space="preserve">EV</w:t>
      </w:r>
      <w:r>
        <w:t xml:space="preserve">, a competitor name, a project name, or an owner. The backend full-text search runs across news titles, summaries, project names, owners and countries.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8" w:name="review-queue-human-in-the-loop"/>
    <w:p>
      <w:pPr>
        <w:pStyle w:val="Heading1"/>
      </w:pPr>
      <w:r>
        <w:t xml:space="preserve">5. Review Queue (Human-in-the-Loop)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operational heart</w:t>
      </w:r>
      <w:r>
        <w:t xml:space="preserve"> </w:t>
      </w:r>
      <w:r>
        <w:t xml:space="preserve">of the platform — where AI drafts become published intelligence after your validation. It implements the workflow the briefing document calls for:</w:t>
      </w:r>
      <w:r>
        <w:t xml:space="preserve"> </w:t>
      </w:r>
      <w:r>
        <w:rPr>
          <w:b/>
          <w:bCs/>
        </w:rPr>
        <w:t xml:space="preserve">draft → validated → published</w:t>
      </w:r>
      <w:r>
        <w:t xml:space="preserve">, with feedback captured to improve the agents over time.</w:t>
      </w:r>
    </w:p>
    <w:p>
      <w:pPr>
        <w:pStyle w:val="CaptionedFigure"/>
      </w:pPr>
      <w:r>
        <w:drawing>
          <wp:inline>
            <wp:extent cx="5334000" cy="3900487"/>
            <wp:effectExtent b="0" l="0" r="0" t="0"/>
            <wp:docPr descr="Review Queue" title="" id="35" name="Picture"/>
            <a:graphic>
              <a:graphicData uri="http://schemas.openxmlformats.org/drawingml/2006/picture">
                <pic:pic>
                  <pic:nvPicPr>
                    <pic:cNvPr descr="manual-screenshots/04-review-queue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004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Review Queue</w:t>
      </w:r>
    </w:p>
    <w:bookmarkStart w:id="37" w:name="top-stat-pills"/>
    <w:p>
      <w:pPr>
        <w:pStyle w:val="Heading2"/>
      </w:pPr>
      <w:r>
        <w:t xml:space="preserve">5.1 Top stat pills</w:t>
      </w:r>
    </w:p>
    <w:p>
      <w:pPr>
        <w:pStyle w:val="FirstParagraph"/>
      </w:pPr>
      <w:r>
        <w:t xml:space="preserve">Four big tiles at the top show</w:t>
      </w:r>
      <w:r>
        <w:t xml:space="preserve"> </w:t>
      </w:r>
      <w:r>
        <w:rPr>
          <w:b/>
          <w:bCs/>
        </w:rPr>
        <w:t xml:space="preserve">counts by status</w:t>
      </w:r>
      <w:r>
        <w:t xml:space="preserve"> </w:t>
      </w:r>
      <w:r>
        <w:t xml:space="preserve">and act as filters: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Drafts</w:t>
      </w:r>
      <w:r>
        <w:t xml:space="preserve"> </w:t>
      </w:r>
      <w:r>
        <w:t xml:space="preserve">(amber) — AI-produced items not yet reviewed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Validated</w:t>
      </w:r>
      <w:r>
        <w:t xml:space="preserve"> </w:t>
      </w:r>
      <w:r>
        <w:t xml:space="preserve">(green) — accepted by the MI team, awaiting publish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Rejected</w:t>
      </w:r>
      <w:r>
        <w:t xml:space="preserve"> </w:t>
      </w:r>
      <w:r>
        <w:t xml:space="preserve">(red) — discarded; agent learns from these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Published</w:t>
      </w:r>
      <w:r>
        <w:t xml:space="preserve"> </w:t>
      </w:r>
      <w:r>
        <w:t xml:space="preserve">(blue) — live in the Hub and visible to consumers</w:t>
      </w:r>
    </w:p>
    <w:p>
      <w:pPr>
        <w:pStyle w:val="FirstParagraph"/>
      </w:pPr>
      <w:r>
        <w:t xml:space="preserve">Click any pill to filter the queue by that status. The active filter shows a green ring.</w:t>
      </w:r>
    </w:p>
    <w:bookmarkEnd w:id="37"/>
    <w:bookmarkStart w:id="38" w:name="type-filter"/>
    <w:p>
      <w:pPr>
        <w:pStyle w:val="Heading2"/>
      </w:pPr>
      <w:r>
        <w:t xml:space="preserve">5.2 Type filter</w:t>
      </w:r>
    </w:p>
    <w:p>
      <w:pPr>
        <w:pStyle w:val="FirstParagraph"/>
      </w:pPr>
      <w:r>
        <w:t xml:space="preserve">Below the pills: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all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news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 </w:t>
      </w:r>
      <w:r>
        <w:t xml:space="preserve">— narrow by item type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show all statuses</w:t>
      </w:r>
      <w:r>
        <w:t xml:space="preserve"> </w:t>
      </w:r>
      <w:r>
        <w:t xml:space="preserve">— bypass the status filter</w:t>
      </w:r>
    </w:p>
    <w:bookmarkEnd w:id="38"/>
    <w:bookmarkStart w:id="45" w:name="master-detail-layout"/>
    <w:p>
      <w:pPr>
        <w:pStyle w:val="Heading2"/>
      </w:pPr>
      <w:r>
        <w:t xml:space="preserve">5.3 Master-detail layout</w:t>
      </w:r>
    </w:p>
    <w:bookmarkStart w:id="39" w:name="left-pane-the-queue-list"/>
    <w:p>
      <w:pPr>
        <w:pStyle w:val="Heading3"/>
      </w:pPr>
      <w:r>
        <w:t xml:space="preserve">5.3.1 Left pane — the queue list</w:t>
      </w:r>
    </w:p>
    <w:p>
      <w:pPr>
        <w:pStyle w:val="FirstParagraph"/>
      </w:pPr>
      <w:r>
        <w:t xml:space="preserve">Each row shows: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Type icon</w:t>
      </w:r>
      <w:r>
        <w:t xml:space="preserve"> </w:t>
      </w:r>
      <w:r>
        <w:t xml:space="preserve">— newspaper (news) or pickaxe (project)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Agent label</w:t>
      </w:r>
      <w:r>
        <w:t xml:space="preserve"> </w:t>
      </w:r>
      <w:r>
        <w:t xml:space="preserve">— which agent flagged this item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Status chip</w:t>
      </w:r>
      <w:r>
        <w:t xml:space="preserve"> </w:t>
      </w:r>
      <w:r>
        <w:t xml:space="preserve">— current state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Confidence chip</w:t>
      </w:r>
      <w:r>
        <w:t xml:space="preserve"> </w:t>
      </w:r>
      <w:r>
        <w:t xml:space="preserve">— AI confidence score (green ≥ 85%, blue 70–84%, amber &lt; 70%)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Title</w:t>
      </w:r>
      <w:r>
        <w:t xml:space="preserve"> </w:t>
      </w:r>
      <w:r>
        <w:t xml:space="preserve">(2 lines max)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Source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country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Age</w:t>
      </w:r>
      <w:r>
        <w:t xml:space="preserve"> </w:t>
      </w:r>
      <w:r>
        <w:t xml:space="preserve">—</w:t>
      </w:r>
      <w:r>
        <w:t xml:space="preserve"> </w:t>
      </w:r>
      <w:r>
        <w:t xml:space="preserve">“4h ago”</w:t>
      </w:r>
      <w:r>
        <w:t xml:space="preserve">,</w:t>
      </w:r>
      <w:r>
        <w:t xml:space="preserve"> </w:t>
      </w:r>
      <w:r>
        <w:t xml:space="preserve">“2d ago”</w:t>
      </w:r>
    </w:p>
    <w:p>
      <w:pPr>
        <w:pStyle w:val="FirstParagraph"/>
      </w:pPr>
      <w:r>
        <w:t xml:space="preserve">Click an item to inspect it in the right pane.</w:t>
      </w:r>
    </w:p>
    <w:bookmarkEnd w:id="39"/>
    <w:bookmarkStart w:id="43" w:name="right-pane-the-detail-view"/>
    <w:p>
      <w:pPr>
        <w:pStyle w:val="Heading3"/>
      </w:pPr>
      <w:r>
        <w:t xml:space="preserve">5.3.2 Right pane — the detail view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Review detail" title="" id="41" name="Picture"/>
            <a:graphic>
              <a:graphicData uri="http://schemas.openxmlformats.org/drawingml/2006/picture">
                <pic:pic>
                  <pic:nvPicPr>
                    <pic:cNvPr descr="manual-screenshots/05-review-detail-validated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Review detail</w:t>
      </w:r>
    </w:p>
    <w:p>
      <w:pPr>
        <w:pStyle w:val="BodyText"/>
      </w:pPr>
      <w:r>
        <w:rPr>
          <w:b/>
          <w:bCs/>
        </w:rPr>
        <w:t xml:space="preserve">Header section</w:t>
      </w:r>
      <w:r>
        <w:t xml:space="preserve"> </w:t>
      </w:r>
      <w:r>
        <w:t xml:space="preserve">shows:</w:t>
      </w:r>
    </w:p>
    <w:p>
      <w:pPr>
        <w:pStyle w:val="Compact"/>
        <w:numPr>
          <w:ilvl w:val="0"/>
          <w:numId w:val="1012"/>
        </w:numPr>
      </w:pPr>
      <w:r>
        <w:t xml:space="preserve">Type icon, status, agent, confidence, country, segments</w:t>
      </w:r>
    </w:p>
    <w:p>
      <w:pPr>
        <w:pStyle w:val="Compact"/>
        <w:numPr>
          <w:ilvl w:val="0"/>
          <w:numId w:val="1012"/>
        </w:numPr>
      </w:pPr>
      <w:r>
        <w:t xml:space="preserve">The item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(editable inline — click</w:t>
      </w:r>
      <w:r>
        <w:t xml:space="preserve"> </w:t>
      </w:r>
      <w:r>
        <w:rPr>
          <w:i/>
          <w:iCs/>
        </w:rPr>
        <w:t xml:space="preserve">Edit title</w:t>
      </w:r>
      <w:r>
        <w:t xml:space="preserve">)</w:t>
      </w:r>
    </w:p>
    <w:p>
      <w:pPr>
        <w:pStyle w:val="Compact"/>
        <w:numPr>
          <w:ilvl w:val="0"/>
          <w:numId w:val="1012"/>
        </w:numPr>
      </w:pPr>
      <w:r>
        <w:t xml:space="preserve">The AI-extracted</w:t>
      </w:r>
      <w:r>
        <w:t xml:space="preserve"> </w:t>
      </w:r>
      <w:r>
        <w:rPr>
          <w:b/>
          <w:bCs/>
        </w:rPr>
        <w:t xml:space="preserve">summary</w:t>
      </w:r>
    </w:p>
    <w:p>
      <w:pPr>
        <w:pStyle w:val="Compact"/>
        <w:numPr>
          <w:ilvl w:val="0"/>
          <w:numId w:val="1012"/>
        </w:numPr>
      </w:pPr>
      <w:r>
        <w:t xml:space="preserve">Three action buttons:</w:t>
      </w:r>
      <w:r>
        <w:t xml:space="preserve"> </w:t>
      </w:r>
      <w:r>
        <w:rPr>
          <w:b/>
          <w:bCs/>
        </w:rPr>
        <w:t xml:space="preserve">Open source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Evidence bundle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Edit title</w:t>
      </w:r>
    </w:p>
    <w:p>
      <w:pPr>
        <w:pStyle w:val="FirstParagraph"/>
      </w:pPr>
      <w:r>
        <w:rPr>
          <w:b/>
          <w:bCs/>
        </w:rPr>
        <w:t xml:space="preserve">“Why the agent flagged this”</w:t>
      </w:r>
      <w:r>
        <w:t xml:space="preserve"> </w:t>
      </w:r>
      <w:r>
        <w:t xml:space="preserve">— a callout that quotes the AI reasoning, e.g.</w:t>
      </w:r>
    </w:p>
    <w:p>
      <w:pPr>
        <w:pStyle w:val="BlockText"/>
      </w:pPr>
      <w:r>
        <w:t xml:space="preserve">Flagged by News Finder agent: matches Prysmian taxonomy (segments: copper, commodities; geography: Peru). Relevance score: 0.62.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evidence trail</w:t>
      </w:r>
      <w:r>
        <w:t xml:space="preserve"> </w:t>
      </w:r>
      <w:r>
        <w:t xml:space="preserve">the brief explicitly requires.</w:t>
      </w:r>
    </w:p>
    <w:p>
      <w:pPr>
        <w:pStyle w:val="BodyText"/>
      </w:pPr>
      <w:r>
        <w:rPr>
          <w:b/>
          <w:bCs/>
        </w:rPr>
        <w:t xml:space="preserve">Feedback to agent</w:t>
      </w:r>
      <w:r>
        <w:t xml:space="preserve"> </w:t>
      </w:r>
      <w:r>
        <w:t xml:space="preserve">— a textarea where you write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you accept/edit/reject:</w:t>
      </w:r>
    </w:p>
    <w:p>
      <w:pPr>
        <w:pStyle w:val="BlockText"/>
      </w:pPr>
      <w:r>
        <w:t xml:space="preserve">e.g. </w:t>
      </w:r>
      <w:r>
        <w:t xml:space="preserve">“Geography filter too broad — restrict to EU+UK only”</w:t>
      </w:r>
    </w:p>
    <w:p>
      <w:pPr>
        <w:pStyle w:val="FirstParagraph"/>
      </w:pPr>
      <w:r>
        <w:t xml:space="preserve">The text feeds back into the agent’s rules and evaluation set.</w:t>
      </w:r>
    </w:p>
    <w:p>
      <w:pPr>
        <w:pStyle w:val="BodyText"/>
      </w:pPr>
      <w:r>
        <w:rPr>
          <w:b/>
          <w:bCs/>
        </w:rPr>
        <w:t xml:space="preserve">Three decision buttons: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79"/>
        <w:gridCol w:w="61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Accept</w:t>
            </w:r>
            <w:r>
              <w:t xml:space="preserve"> </w:t>
            </w:r>
            <w:r>
              <w:t xml:space="preserve">(green)</w:t>
            </w:r>
          </w:p>
        </w:tc>
        <w:tc>
          <w:tcPr/>
          <w:p>
            <w:pPr>
              <w:pStyle w:val="Compact"/>
            </w:pPr>
            <w:r>
              <w:t xml:space="preserve">Status →</w:t>
            </w:r>
            <w:r>
              <w:t xml:space="preserve"> </w:t>
            </w:r>
            <w:r>
              <w:rPr>
                <w:rStyle w:val="VerbatimChar"/>
              </w:rPr>
              <w:t xml:space="preserve">validated</w:t>
            </w:r>
            <w:r>
              <w:t xml:space="preserve">. Item moves to publish queue.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Save edits + Accept</w:t>
            </w:r>
          </w:p>
        </w:tc>
        <w:tc>
          <w:tcPr/>
          <w:p>
            <w:pPr>
              <w:pStyle w:val="Compact"/>
            </w:pPr>
            <w:r>
              <w:t xml:space="preserve">Saves your edited title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validates the item.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Reject</w:t>
            </w:r>
            <w:r>
              <w:t xml:space="preserve"> </w:t>
            </w:r>
            <w:r>
              <w:t xml:space="preserve">(white)</w:t>
            </w:r>
          </w:p>
        </w:tc>
        <w:tc>
          <w:tcPr/>
          <w:p>
            <w:pPr>
              <w:pStyle w:val="Compact"/>
            </w:pPr>
            <w:r>
              <w:t xml:space="preserve">Status →</w:t>
            </w:r>
            <w:r>
              <w:t xml:space="preserve"> </w:t>
            </w:r>
            <w:r>
              <w:rPr>
                <w:rStyle w:val="VerbatimChar"/>
              </w:rPr>
              <w:t xml:space="preserve">rejected</w:t>
            </w:r>
            <w:r>
              <w:t xml:space="preserve">. Feedback feeds agent improvement loop.</w:t>
            </w:r>
          </w:p>
        </w:tc>
      </w:tr>
    </w:tbl>
    <w:bookmarkEnd w:id="43"/>
    <w:bookmarkStart w:id="44" w:name="decision-history-strip"/>
    <w:p>
      <w:pPr>
        <w:pStyle w:val="Heading3"/>
      </w:pPr>
      <w:r>
        <w:t xml:space="preserve">5.3.3 Decision history strip</w:t>
      </w:r>
    </w:p>
    <w:p>
      <w:pPr>
        <w:pStyle w:val="FirstParagraph"/>
      </w:pPr>
      <w:r>
        <w:t xml:space="preserve">Once an item has been decided, the detail panel shows:</w:t>
      </w:r>
    </w:p>
    <w:p>
      <w:pPr>
        <w:pStyle w:val="BlockText"/>
      </w:pPr>
      <w:r>
        <w:t xml:space="preserve">Decided 3m ago by</w:t>
      </w:r>
      <w:r>
        <w:t xml:space="preserve"> </w:t>
      </w:r>
      <w:r>
        <w:rPr>
          <w:rStyle w:val="VerbatimChar"/>
        </w:rPr>
        <w:t xml:space="preserve">emiliano.narducci@prysmian.com</w:t>
      </w:r>
      <w:r>
        <w:t xml:space="preserve"> </w:t>
      </w:r>
      <w:r>
        <w:t xml:space="preserve">“Geography too broad, restrict to Italy.”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audit trail</w:t>
      </w:r>
      <w:r>
        <w:t xml:space="preserve"> </w:t>
      </w:r>
      <w:r>
        <w:t xml:space="preserve">— who/when/feedback for every state transition.</w:t>
      </w:r>
    </w:p>
    <w:bookmarkEnd w:id="44"/>
    <w:bookmarkEnd w:id="45"/>
    <w:bookmarkStart w:id="46" w:name="the-validated-published-step"/>
    <w:p>
      <w:pPr>
        <w:pStyle w:val="Heading2"/>
      </w:pPr>
      <w:r>
        <w:t xml:space="preserve">5.4 The validated → published step</w:t>
      </w:r>
    </w:p>
    <w:p>
      <w:pPr>
        <w:pStyle w:val="FirstParagraph"/>
      </w:pPr>
      <w:r>
        <w:t xml:space="preserve">When an item is in</w:t>
      </w:r>
      <w:r>
        <w:t xml:space="preserve"> </w:t>
      </w:r>
      <w:r>
        <w:rPr>
          <w:rStyle w:val="VerbatimChar"/>
        </w:rPr>
        <w:t xml:space="preserve">validated</w:t>
      </w:r>
      <w:r>
        <w:t xml:space="preserve"> </w:t>
      </w:r>
      <w:r>
        <w:t xml:space="preserve">state, the right panel offers a single button</w:t>
      </w:r>
      <w:r>
        <w:t xml:space="preserve"> </w:t>
      </w:r>
      <w:r>
        <w:rPr>
          <w:b/>
          <w:bCs/>
        </w:rPr>
        <w:t xml:space="preserve">“Publish now”</w:t>
      </w:r>
      <w:r>
        <w:t xml:space="preserve"> </w:t>
      </w:r>
      <w:r>
        <w:t xml:space="preserve">that transitions it to</w:t>
      </w:r>
      <w:r>
        <w:t xml:space="preserve"> </w:t>
      </w:r>
      <w:r>
        <w:rPr>
          <w:rStyle w:val="VerbatimChar"/>
        </w:rPr>
        <w:t xml:space="preserve">published</w:t>
      </w:r>
      <w:r>
        <w:t xml:space="preserve">. In production this is wired to the newsletter / editorial workflow.</w:t>
      </w:r>
    </w:p>
    <w:p>
      <w:pPr>
        <w:pStyle w:val="BodyText"/>
      </w:pPr>
      <w:r>
        <w:t xml:space="preserve">Rejected items get a</w:t>
      </w:r>
      <w:r>
        <w:t xml:space="preserve"> </w:t>
      </w:r>
      <w:r>
        <w:rPr>
          <w:b/>
          <w:bCs/>
        </w:rPr>
        <w:t xml:space="preserve">“Restore to queue”</w:t>
      </w:r>
      <w:r>
        <w:t xml:space="preserve"> </w:t>
      </w:r>
      <w:r>
        <w:t xml:space="preserve">button so a wrongly-rejected item can be brought back.</w:t>
      </w:r>
    </w:p>
    <w:bookmarkEnd w:id="46"/>
    <w:bookmarkStart w:id="47" w:name="live-counter"/>
    <w:p>
      <w:pPr>
        <w:pStyle w:val="Heading2"/>
      </w:pPr>
      <w:r>
        <w:t xml:space="preserve">5.5 Live counter</w:t>
      </w:r>
    </w:p>
    <w:p>
      <w:pPr>
        <w:pStyle w:val="FirstParagraph"/>
      </w:pPr>
      <w:r>
        <w:t xml:space="preserve">The sidebar</w:t>
      </w:r>
      <w:r>
        <w:t xml:space="preserve"> </w:t>
      </w:r>
      <w:r>
        <w:rPr>
          <w:b/>
          <w:bCs/>
        </w:rPr>
        <w:t xml:space="preserve">Review queue</w:t>
      </w:r>
      <w:r>
        <w:t xml:space="preserve"> </w:t>
      </w:r>
      <w:r>
        <w:t xml:space="preserve">badge updates every 20 seconds with the current draft count — so you always know how much work is queued.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62" w:name="ai-agents-control-center"/>
    <w:p>
      <w:pPr>
        <w:pStyle w:val="Heading1"/>
      </w:pPr>
      <w:r>
        <w:t xml:space="preserve">6. AI Agents Control Center</w:t>
      </w:r>
    </w:p>
    <w:p>
      <w:pPr>
        <w:pStyle w:val="FirstParagraph"/>
      </w:pPr>
      <w:r>
        <w:t xml:space="preserve">The brief specifies</w:t>
      </w:r>
      <w:r>
        <w:t xml:space="preserve"> </w:t>
      </w:r>
      <w:r>
        <w:rPr>
          <w:b/>
          <w:bCs/>
        </w:rPr>
        <w:t xml:space="preserve">six always-on AI agents</w:t>
      </w:r>
      <w:r>
        <w:t xml:space="preserve">. This page is mission control: status, configuration, manual runs, performance feedback.</w:t>
      </w:r>
    </w:p>
    <w:p>
      <w:pPr>
        <w:pStyle w:val="CaptionedFigure"/>
      </w:pPr>
      <w:r>
        <w:drawing>
          <wp:inline>
            <wp:extent cx="5334000" cy="3518958"/>
            <wp:effectExtent b="0" l="0" r="0" t="0"/>
            <wp:docPr descr="Agents" title="" id="50" name="Picture"/>
            <a:graphic>
              <a:graphicData uri="http://schemas.openxmlformats.org/drawingml/2006/picture">
                <pic:pic>
                  <pic:nvPicPr>
                    <pic:cNvPr descr="manual-screenshots/06-agents.jp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8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Agents</w:t>
      </w:r>
    </w:p>
    <w:bookmarkStart w:id="52" w:name="top-stat-strip"/>
    <w:p>
      <w:pPr>
        <w:pStyle w:val="Heading2"/>
      </w:pPr>
      <w:r>
        <w:t xml:space="preserve">6.1 Top stat strip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78"/>
        <w:gridCol w:w="57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agents</w:t>
            </w:r>
          </w:p>
        </w:tc>
        <w:tc>
          <w:tcPr/>
          <w:p>
            <w:pPr>
              <w:pStyle w:val="Compact"/>
            </w:pPr>
            <w:r>
              <w:t xml:space="preserve">Implemented + enabled / total catalog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runs (7d)</w:t>
            </w:r>
          </w:p>
        </w:tc>
        <w:tc>
          <w:tcPr/>
          <w:p>
            <w:pPr>
              <w:pStyle w:val="Compact"/>
            </w:pPr>
            <w:r>
              <w:t xml:space="preserve">Number of execution runs in the last week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Items written back</w:t>
            </w:r>
          </w:p>
        </w:tc>
        <w:tc>
          <w:tcPr/>
          <w:p>
            <w:pPr>
              <w:pStyle w:val="Compact"/>
            </w:pPr>
            <w:r>
              <w:t xml:space="preserve">Items the agents have produced and written to the 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Avg feedback score</w:t>
            </w:r>
          </w:p>
        </w:tc>
        <w:tc>
          <w:tcPr/>
          <w:p>
            <w:pPr>
              <w:pStyle w:val="Compact"/>
            </w:pPr>
            <w:r>
              <w:t xml:space="preserve">Average MI team approval rate across runs</w:t>
            </w:r>
          </w:p>
        </w:tc>
      </w:tr>
    </w:tbl>
    <w:bookmarkEnd w:id="52"/>
    <w:bookmarkStart w:id="55" w:name="the-six-agents"/>
    <w:p>
      <w:pPr>
        <w:pStyle w:val="Heading2"/>
      </w:pPr>
      <w:r>
        <w:t xml:space="preserve">6.2 The six agents</w:t>
      </w:r>
    </w:p>
    <w:p>
      <w:pPr>
        <w:pStyle w:val="FirstParagraph"/>
      </w:pPr>
      <w:r>
        <w:t xml:space="preserve">Each agent is shown as a card:</w:t>
      </w:r>
    </w:p>
    <w:bookmarkStart w:id="53" w:name="agent-card-anatomy"/>
    <w:p>
      <w:pPr>
        <w:pStyle w:val="Heading3"/>
      </w:pPr>
      <w:r>
        <w:t xml:space="preserve">Agent card anatomy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Color-coded icon</w:t>
      </w:r>
      <w:r>
        <w:t xml:space="preserve"> </w:t>
      </w:r>
      <w:r>
        <w:t xml:space="preserve">matching the agent category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Status badge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 </w:t>
      </w:r>
      <w:r>
        <w:t xml:space="preserve">(green) ·</w:t>
      </w:r>
      <w:r>
        <w:t xml:space="preserve"> </w:t>
      </w:r>
      <w:r>
        <w:rPr>
          <w:rStyle w:val="VerbatimChar"/>
        </w:rPr>
        <w:t xml:space="preserve">paused</w:t>
      </w:r>
      <w:r>
        <w:t xml:space="preserve"> </w:t>
      </w:r>
      <w:r>
        <w:t xml:space="preserve">(amber) ·</w:t>
      </w:r>
      <w:r>
        <w:t xml:space="preserve"> </w:t>
      </w:r>
      <w:r>
        <w:rPr>
          <w:rStyle w:val="VerbatimChar"/>
        </w:rPr>
        <w:t xml:space="preserve">planned</w:t>
      </w:r>
      <w:r>
        <w:t xml:space="preserve"> </w:t>
      </w:r>
      <w:r>
        <w:t xml:space="preserve">(Phase 2)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Name + one-line description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Keyword chips</w:t>
      </w:r>
      <w:r>
        <w:t xml:space="preserve"> </w:t>
      </w:r>
      <w:r>
        <w:t xml:space="preserve">showing the agent’s taxonomy (e.g., for News Finder:</w:t>
      </w:r>
      <w:r>
        <w:t xml:space="preserve"> </w:t>
      </w:r>
      <w:r>
        <w:rPr>
          <w:rStyle w:val="VerbatimChar"/>
        </w:rPr>
        <w:t xml:space="preserve">cable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copper</w:t>
      </w:r>
      <w:r>
        <w:t xml:space="preserve">,</w:t>
      </w:r>
      <w:r>
        <w:t xml:space="preserve"> </w:t>
      </w:r>
      <w:r>
        <w:rPr>
          <w:rStyle w:val="VerbatimChar"/>
        </w:rPr>
        <w:t xml:space="preserve">EV</w:t>
      </w:r>
      <w:r>
        <w:t xml:space="preserve">,</w:t>
      </w:r>
      <w:r>
        <w:t xml:space="preserve"> </w:t>
      </w:r>
      <w:r>
        <w:rPr>
          <w:rStyle w:val="VerbatimChar"/>
        </w:rPr>
        <w:t xml:space="preserve">grid</w:t>
      </w:r>
      <w:r>
        <w:t xml:space="preserve">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3-column metadata strip</w:t>
      </w:r>
      <w:r>
        <w:t xml:space="preserve"> </w:t>
      </w:r>
      <w:r>
        <w:t xml:space="preserve">— Schedule · Last run · Feedback %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Action row</w:t>
      </w:r>
      <w:r>
        <w:t xml:space="preserve"> </w:t>
      </w:r>
      <w:r>
        <w:t xml:space="preserve">— Run now · Pause/Resume · Config</w:t>
      </w:r>
    </w:p>
    <w:bookmarkEnd w:id="53"/>
    <w:bookmarkStart w:id="54" w:name="the-six-agents-prysmian-brief-mapping"/>
    <w:p>
      <w:pPr>
        <w:pStyle w:val="Heading3"/>
      </w:pPr>
      <w:r>
        <w:t xml:space="preserve">The six agents (Prysmian brief mapping)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9"/>
        <w:gridCol w:w="2148"/>
        <w:gridCol w:w="920"/>
        <w:gridCol w:w="35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project_scouting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 Scouting</w:t>
            </w:r>
          </w:p>
        </w:tc>
        <w:tc>
          <w:tcPr/>
          <w:p>
            <w:pPr>
              <w:pStyle w:val="Compact"/>
            </w:pPr>
            <w:r>
              <w:t xml:space="preserve">running ✅</w:t>
            </w:r>
          </w:p>
        </w:tc>
        <w:tc>
          <w:tcPr/>
          <w:p>
            <w:pPr>
              <w:pStyle w:val="Compact"/>
            </w:pPr>
            <w:r>
              <w:t xml:space="preserve">New mining/grid/data center/BESS/renewable projects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news_finder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News Finder</w:t>
            </w:r>
          </w:p>
        </w:tc>
        <w:tc>
          <w:tcPr/>
          <w:p>
            <w:pPr>
              <w:pStyle w:val="Compact"/>
            </w:pPr>
            <w:r>
              <w:t xml:space="preserve">running ✅</w:t>
            </w:r>
          </w:p>
        </w:tc>
        <w:tc>
          <w:tcPr/>
          <w:p>
            <w:pPr>
              <w:pStyle w:val="Compact"/>
            </w:pPr>
            <w:r>
              <w:t xml:space="preserve">Industry news for the newsletter and topic feeds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kpi_alerts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Micro/Macro KPI Alerts</w:t>
            </w:r>
          </w:p>
        </w:tc>
        <w:tc>
          <w:tcPr/>
          <w:p>
            <w:pPr>
              <w:pStyle w:val="Compact"/>
            </w:pPr>
            <w:r>
              <w:t xml:space="preserve">planned (P2)</w:t>
            </w:r>
          </w:p>
        </w:tc>
        <w:tc>
          <w:tcPr/>
          <w:p>
            <w:pPr>
              <w:pStyle w:val="Compact"/>
            </w:pPr>
            <w:r>
              <w:t xml:space="preserve">KPI thresholds per application/BU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swift_finder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Market Trends Swift Finder</w:t>
            </w:r>
          </w:p>
        </w:tc>
        <w:tc>
          <w:tcPr/>
          <w:p>
            <w:pPr>
              <w:pStyle w:val="Compact"/>
            </w:pPr>
            <w:r>
              <w:t xml:space="preserve">planned (P2)</w:t>
            </w:r>
          </w:p>
        </w:tc>
        <w:tc>
          <w:tcPr/>
          <w:p>
            <w:pPr>
              <w:pStyle w:val="Compact"/>
            </w:pPr>
            <w:r>
              <w:t xml:space="preserve">Emerging trends and tech shifts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customer_monitor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Customer Monitoring</w:t>
            </w:r>
          </w:p>
        </w:tc>
        <w:tc>
          <w:tcPr/>
          <w:p>
            <w:pPr>
              <w:pStyle w:val="Compact"/>
            </w:pPr>
            <w:r>
              <w:t xml:space="preserve">planned (P2)</w:t>
            </w:r>
          </w:p>
        </w:tc>
        <w:tc>
          <w:tcPr/>
          <w:p>
            <w:pPr>
              <w:pStyle w:val="Compact"/>
            </w:pPr>
            <w:r>
              <w:t xml:space="preserve">Signals on Terna, Enel, EDF, RWE, TenneT, etc.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competitor_monitor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Competitor Monitoring</w:t>
            </w:r>
          </w:p>
        </w:tc>
        <w:tc>
          <w:tcPr/>
          <w:p>
            <w:pPr>
              <w:pStyle w:val="Compact"/>
            </w:pPr>
            <w:r>
              <w:t xml:space="preserve">planned (P2)</w:t>
            </w:r>
          </w:p>
        </w:tc>
        <w:tc>
          <w:tcPr/>
          <w:p>
            <w:pPr>
              <w:pStyle w:val="Compact"/>
            </w:pPr>
            <w:r>
              <w:t xml:space="preserve">Nexans, NKT, Hellenic Cables, LS Cable moves</w:t>
            </w:r>
          </w:p>
        </w:tc>
      </w:tr>
    </w:tbl>
    <w:bookmarkEnd w:id="54"/>
    <w:bookmarkEnd w:id="55"/>
    <w:bookmarkStart w:id="56" w:name="running-an-agent-on-demand"/>
    <w:p>
      <w:pPr>
        <w:pStyle w:val="Heading2"/>
      </w:pPr>
      <w:r>
        <w:t xml:space="preserve">6.3 Running an agent on demand</w:t>
      </w:r>
    </w:p>
    <w:p>
      <w:pPr>
        <w:pStyle w:val="FirstParagraph"/>
      </w:pPr>
      <w:r>
        <w:t xml:space="preserve">For an implemented agent, click</w:t>
      </w:r>
      <w:r>
        <w:t xml:space="preserve"> </w:t>
      </w:r>
      <w:r>
        <w:rPr>
          <w:b/>
          <w:bCs/>
        </w:rPr>
        <w:t xml:space="preserve">Run now</w:t>
      </w:r>
      <w:r>
        <w:t xml:space="preserve"> </w:t>
      </w:r>
      <w:r>
        <w:t xml:space="preserve">— the agent fires in the background (bounded run: max 3 items, 30s timeout). The status badge animates and the</w:t>
      </w:r>
      <w:r>
        <w:t xml:space="preserve"> </w:t>
      </w:r>
      <w:r>
        <w:t xml:space="preserve">“Last run”</w:t>
      </w:r>
      <w:r>
        <w:t xml:space="preserve"> </w:t>
      </w:r>
      <w:r>
        <w:t xml:space="preserve">updates when the run completes.</w:t>
      </w:r>
    </w:p>
    <w:bookmarkEnd w:id="56"/>
    <w:bookmarkStart w:id="57" w:name="pause-resume"/>
    <w:p>
      <w:pPr>
        <w:pStyle w:val="Heading2"/>
      </w:pPr>
      <w:r>
        <w:t xml:space="preserve">6.4 Pause / Resume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Pause</w:t>
      </w:r>
      <w:r>
        <w:t xml:space="preserve"> </w:t>
      </w:r>
      <w:r>
        <w:t xml:space="preserve">to disable scheduled runs without losing config. The button toggles to</w:t>
      </w:r>
      <w:r>
        <w:t xml:space="preserve"> </w:t>
      </w:r>
      <w:r>
        <w:rPr>
          <w:b/>
          <w:bCs/>
        </w:rPr>
        <w:t xml:space="preserve">Resume</w:t>
      </w:r>
      <w:r>
        <w:t xml:space="preserve">.</w:t>
      </w:r>
    </w:p>
    <w:bookmarkEnd w:id="57"/>
    <w:bookmarkStart w:id="61" w:name="agent-configuration"/>
    <w:p>
      <w:pPr>
        <w:pStyle w:val="Heading2"/>
      </w:pPr>
      <w:r>
        <w:t xml:space="preserve">6.5 Agent configuration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Agent config drawer" title="" id="59" name="Picture"/>
            <a:graphic>
              <a:graphicData uri="http://schemas.openxmlformats.org/drawingml/2006/picture">
                <pic:pic>
                  <pic:nvPicPr>
                    <pic:cNvPr descr="manual-screenshots/07-agent-config.jp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Agent config drawer</w:t>
      </w:r>
    </w:p>
    <w:p>
      <w:pPr>
        <w:pStyle w:val="BodyText"/>
      </w:pPr>
      <w:r>
        <w:t xml:space="preserve">Clicking</w:t>
      </w:r>
      <w:r>
        <w:t xml:space="preserve"> </w:t>
      </w:r>
      <w:r>
        <w:rPr>
          <w:b/>
          <w:bCs/>
        </w:rPr>
        <w:t xml:space="preserve">Config</w:t>
      </w:r>
      <w:r>
        <w:t xml:space="preserve"> </w:t>
      </w:r>
      <w:r>
        <w:t xml:space="preserve">opens a right-side drawer with: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Keywords &amp; taxonomy</w:t>
      </w:r>
      <w:r>
        <w:t xml:space="preserve"> </w:t>
      </w:r>
      <w:r>
        <w:t xml:space="preserve">— chip list of the agent’s filter words. Click</w:t>
      </w:r>
      <w:r>
        <w:t xml:space="preserve"> </w:t>
      </w:r>
      <w:r>
        <w:rPr>
          <w:rStyle w:val="VerbatimChar"/>
        </w:rPr>
        <w:t xml:space="preserve">+ Add keyword</w:t>
      </w:r>
      <w:r>
        <w:t xml:space="preserve"> </w:t>
      </w:r>
      <w:r>
        <w:t xml:space="preserve">to extend.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Geography filter</w:t>
      </w:r>
      <w:r>
        <w:t xml:space="preserve"> </w:t>
      </w:r>
      <w:r>
        <w:t xml:space="preserve">— which regions the agent monitors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Schedule</w:t>
      </w:r>
      <w:r>
        <w:t xml:space="preserve"> </w:t>
      </w:r>
      <w:r>
        <w:t xml:space="preserve">— current cadence (</w:t>
      </w:r>
      <w:r>
        <w:t xml:space="preserve">“Every 6h”</w:t>
      </w:r>
      <w:r>
        <w:t xml:space="preserve">). Click</w:t>
      </w:r>
      <w:r>
        <w:t xml:space="preserve"> </w:t>
      </w:r>
      <w:r>
        <w:rPr>
          <w:i/>
          <w:iCs/>
        </w:rPr>
        <w:t xml:space="preserve">Change</w:t>
      </w:r>
      <w:r>
        <w:t xml:space="preserve"> </w:t>
      </w:r>
      <w:r>
        <w:t xml:space="preserve">to modify.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Routing &amp; alerts</w:t>
      </w:r>
      <w:r>
        <w:t xml:space="preserve"> </w:t>
      </w:r>
      <w:r>
        <w:t xml:space="preserve">— toggle channels: In-app · Email digest · Microsoft Teams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Confidence threshold</w:t>
      </w:r>
      <w:r>
        <w:t xml:space="preserve"> </w:t>
      </w:r>
      <w:r>
        <w:t xml:space="preserve">— slider 50–95% (default 70%). Items below this score are auto-discarded.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Last run</w:t>
      </w:r>
      <w:r>
        <w:t xml:space="preserve"> </w:t>
      </w:r>
      <w:r>
        <w:t xml:space="preserve">— timestamp, success/failure, latency, total runs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Save changes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Cancel</w:t>
      </w:r>
      <w:r>
        <w:t xml:space="preserve"> </w:t>
      </w:r>
      <w:r>
        <w:t xml:space="preserve">footer commits the config.</w:t>
      </w:r>
    </w:p>
    <w:p>
      <w:pPr>
        <w:pStyle w:val="BlockText"/>
      </w:pPr>
      <w:r>
        <w:t xml:space="preserve">In Phase 1 this maps to the agent’s rule file and prompt template. Changes here re-deploy the agent with the new parameters.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78" w:name="alerts-subscriptions"/>
    <w:p>
      <w:pPr>
        <w:pStyle w:val="Heading1"/>
      </w:pPr>
      <w:r>
        <w:t xml:space="preserve">7. Alerts &amp; Subscriptions</w:t>
      </w:r>
    </w:p>
    <w:p>
      <w:pPr>
        <w:pStyle w:val="FirstParagraph"/>
      </w:pPr>
      <w:r>
        <w:t xml:space="preserve">Where you receive</w:t>
      </w:r>
      <w:r>
        <w:t xml:space="preserve"> </w:t>
      </w:r>
      <w:r>
        <w:rPr>
          <w:b/>
          <w:bCs/>
        </w:rPr>
        <w:t xml:space="preserve">triggered signals</w:t>
      </w:r>
      <w:r>
        <w:t xml:space="preserve"> </w:t>
      </w:r>
      <w:r>
        <w:t xml:space="preserve">— KPI deviations, project flags, news spikes, competitor moves.</w:t>
      </w:r>
    </w:p>
    <w:p>
      <w:pPr>
        <w:pStyle w:val="CaptionedFigure"/>
      </w:pPr>
      <w:r>
        <w:drawing>
          <wp:inline>
            <wp:extent cx="5334000" cy="14327716"/>
            <wp:effectExtent b="0" l="0" r="0" t="0"/>
            <wp:docPr descr="Alerts inbox" title="" id="64" name="Picture"/>
            <a:graphic>
              <a:graphicData uri="http://schemas.openxmlformats.org/drawingml/2006/picture">
                <pic:pic>
                  <pic:nvPicPr>
                    <pic:cNvPr descr="manual-screenshots/08-alerts.jp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3277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Alerts inbox</w:t>
      </w:r>
    </w:p>
    <w:bookmarkStart w:id="66" w:name="stat-strip"/>
    <w:p>
      <w:pPr>
        <w:pStyle w:val="Heading2"/>
      </w:pPr>
      <w:r>
        <w:t xml:space="preserve">7.1 Stat strip</w:t>
      </w:r>
    </w:p>
    <w:p>
      <w:pPr>
        <w:pStyle w:val="FirstParagraph"/>
      </w:pPr>
      <w:r>
        <w:t xml:space="preserve">Four cards summarize the current state: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High severity</w:t>
      </w:r>
      <w:r>
        <w:t xml:space="preserve"> </w:t>
      </w:r>
      <w:r>
        <w:t xml:space="preserve">(red)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Medium</w:t>
      </w:r>
      <w:r>
        <w:t xml:space="preserve"> </w:t>
      </w:r>
      <w:r>
        <w:t xml:space="preserve">(amber)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Unread</w:t>
      </w:r>
      <w:r>
        <w:t xml:space="preserve"> </w:t>
      </w:r>
      <w:r>
        <w:t xml:space="preserve">(blue)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Total</w:t>
      </w:r>
      <w:r>
        <w:t xml:space="preserve"> </w:t>
      </w:r>
      <w:r>
        <w:t xml:space="preserve">(neutral)</w:t>
      </w:r>
    </w:p>
    <w:bookmarkEnd w:id="66"/>
    <w:bookmarkStart w:id="67" w:name="filter-bar"/>
    <w:p>
      <w:pPr>
        <w:pStyle w:val="Heading2"/>
      </w:pPr>
      <w:r>
        <w:t xml:space="preserve">7.2 Filter bar</w:t>
      </w:r>
    </w:p>
    <w:p>
      <w:pPr>
        <w:pStyle w:val="FirstParagraph"/>
      </w:pPr>
      <w:r>
        <w:t xml:space="preserve">Two filter rows: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Type:</w:t>
      </w:r>
      <w:r>
        <w:t xml:space="preserve"> </w:t>
      </w:r>
      <w:r>
        <w:rPr>
          <w:rStyle w:val="VerbatimChar"/>
        </w:rPr>
        <w:t xml:space="preserve">all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kpi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news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competitor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Severity:</w:t>
      </w:r>
      <w:r>
        <w:t xml:space="preserve"> </w:t>
      </w:r>
      <w:r>
        <w:rPr>
          <w:rStyle w:val="VerbatimChar"/>
        </w:rPr>
        <w:t xml:space="preserve">all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high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medium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low</w:t>
      </w:r>
    </w:p>
    <w:bookmarkEnd w:id="67"/>
    <w:bookmarkStart w:id="68" w:name="alert-card"/>
    <w:p>
      <w:pPr>
        <w:pStyle w:val="Heading2"/>
      </w:pPr>
      <w:r>
        <w:t xml:space="preserve">7.3 Alert card</w:t>
      </w:r>
    </w:p>
    <w:p>
      <w:pPr>
        <w:pStyle w:val="FirstParagraph"/>
      </w:pPr>
      <w:r>
        <w:t xml:space="preserve">Each alert shows: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Type icon</w:t>
      </w:r>
      <w:r>
        <w:t xml:space="preserve"> </w:t>
      </w:r>
      <w:r>
        <w:t xml:space="preserve">— color-coded by severity (red/amber/blue)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Badges row</w:t>
      </w:r>
      <w:r>
        <w:t xml:space="preserve"> </w:t>
      </w:r>
      <w:r>
        <w:t xml:space="preserve">— severity, type, country, AI confidence %, optional</w:t>
      </w:r>
      <w:r>
        <w:t xml:space="preserve"> </w:t>
      </w:r>
      <w:r>
        <w:rPr>
          <w:rStyle w:val="VerbatimChar"/>
        </w:rPr>
        <w:t xml:space="preserve">NEW</w:t>
      </w:r>
      <w:r>
        <w:t xml:space="preserve"> </w:t>
      </w:r>
      <w:r>
        <w:t xml:space="preserve">chip if unread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Age</w:t>
      </w:r>
      <w:r>
        <w:t xml:space="preserve"> </w:t>
      </w:r>
      <w:r>
        <w:t xml:space="preserve">— top right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Title</w:t>
      </w:r>
      <w:r>
        <w:t xml:space="preserve"> </w:t>
      </w:r>
      <w:r>
        <w:t xml:space="preserve">(bold)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Body</w:t>
      </w:r>
      <w:r>
        <w:t xml:space="preserve"> </w:t>
      </w:r>
      <w:r>
        <w:t xml:space="preserve">— 2-line summary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“Trigger”</w:t>
      </w:r>
      <w:r>
        <w:t xml:space="preserve"> </w:t>
      </w:r>
      <w:r>
        <w:t xml:space="preserve">callout — the rule that fired the alert (e.g.,</w:t>
      </w:r>
      <w:r>
        <w:t xml:space="preserve"> </w:t>
      </w:r>
      <w:r>
        <w:rPr>
          <w:i/>
          <w:iCs/>
        </w:rPr>
        <w:t xml:space="preserve">“Threshold rule: copper_lme MoM &gt; +5%. Confidence 0.92.”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Action row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Open</w:t>
      </w:r>
      <w:r>
        <w:t xml:space="preserve"> </w:t>
      </w:r>
      <w:r>
        <w:t xml:space="preserve">(link to source) ·</w:t>
      </w:r>
      <w:r>
        <w:t xml:space="preserve"> </w:t>
      </w:r>
      <w:r>
        <w:rPr>
          <w:rStyle w:val="VerbatimChar"/>
        </w:rPr>
        <w:t xml:space="preserve">Mark read</w:t>
      </w:r>
      <w:r>
        <w:t xml:space="preserve"> </w:t>
      </w:r>
      <w:r>
        <w:t xml:space="preserve">(toggle)</w:t>
      </w:r>
    </w:p>
    <w:p>
      <w:pPr>
        <w:pStyle w:val="FirstParagraph"/>
      </w:pPr>
      <w:r>
        <w:t xml:space="preserve">Read items are dimmed at 60% opacity so unread items stand out.</w:t>
      </w:r>
    </w:p>
    <w:bookmarkEnd w:id="68"/>
    <w:bookmarkStart w:id="77" w:name="subscriptions"/>
    <w:p>
      <w:pPr>
        <w:pStyle w:val="Heading2"/>
      </w:pPr>
      <w:r>
        <w:t xml:space="preserve">7.4 Subscriptions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Subscriptions</w:t>
      </w:r>
      <w:r>
        <w:t xml:space="preserve"> </w:t>
      </w:r>
      <w:r>
        <w:t xml:space="preserve">(top right) to open the preferences drawer.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Subscriptions drawer" title="" id="70" name="Picture"/>
            <a:graphic>
              <a:graphicData uri="http://schemas.openxmlformats.org/drawingml/2006/picture">
                <pic:pic>
                  <pic:nvPicPr>
                    <pic:cNvPr descr="manual-screenshots/09-subscriptions.jp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Subscriptions drawer</w:t>
      </w:r>
    </w:p>
    <w:bookmarkStart w:id="72" w:name="channels"/>
    <w:p>
      <w:pPr>
        <w:pStyle w:val="Heading3"/>
      </w:pPr>
      <w:r>
        <w:t xml:space="preserve">7.4.1 Channels</w:t>
      </w:r>
    </w:p>
    <w:p>
      <w:pPr>
        <w:pStyle w:val="FirstParagraph"/>
      </w:pPr>
      <w:r>
        <w:t xml:space="preserve">Toggle switches per channel: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In-app</w:t>
      </w:r>
      <w:r>
        <w:t xml:space="preserve"> </w:t>
      </w:r>
      <w:r>
        <w:t xml:space="preserve">— show in this inbox (always on by default)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Email digest</w:t>
      </w:r>
      <w:r>
        <w:t xml:space="preserve"> </w:t>
      </w:r>
      <w:r>
        <w:t xml:space="preserve">— daily roll-up email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Microsoft Teams</w:t>
      </w:r>
      <w:r>
        <w:t xml:space="preserve"> </w:t>
      </w:r>
      <w:r>
        <w:t xml:space="preserve">— direct message via Teams app</w:t>
      </w:r>
    </w:p>
    <w:bookmarkEnd w:id="72"/>
    <w:bookmarkStart w:id="73" w:name="business-units"/>
    <w:p>
      <w:pPr>
        <w:pStyle w:val="Heading3"/>
      </w:pPr>
      <w:r>
        <w:t xml:space="preserve">7.4.2 Business units</w:t>
      </w:r>
    </w:p>
    <w:p>
      <w:pPr>
        <w:pStyle w:val="FirstParagraph"/>
      </w:pPr>
      <w:r>
        <w:t xml:space="preserve">Chip-group selection:</w:t>
      </w:r>
      <w:r>
        <w:t xml:space="preserve"> </w:t>
      </w:r>
      <w:r>
        <w:rPr>
          <w:rStyle w:val="VerbatimChar"/>
        </w:rPr>
        <w:t xml:space="preserve">transmission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grid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renewables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telecom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automotive</w:t>
      </w:r>
      <w:r>
        <w:t xml:space="preserve">. Selected BUs show in Prysmian green.</w:t>
      </w:r>
    </w:p>
    <w:bookmarkEnd w:id="73"/>
    <w:bookmarkStart w:id="74" w:name="countries"/>
    <w:p>
      <w:pPr>
        <w:pStyle w:val="Heading3"/>
      </w:pPr>
      <w:r>
        <w:t xml:space="preserve">7.4.3 Countries</w:t>
      </w:r>
    </w:p>
    <w:p>
      <w:pPr>
        <w:pStyle w:val="FirstParagraph"/>
      </w:pPr>
      <w:r>
        <w:t xml:space="preserve">Same UI for:</w:t>
      </w:r>
      <w:r>
        <w:t xml:space="preserve"> </w:t>
      </w:r>
      <w:r>
        <w:rPr>
          <w:rStyle w:val="VerbatimChar"/>
        </w:rPr>
        <w:t xml:space="preserve">Italy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France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Germany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Spain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Netherlands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UK</w:t>
      </w:r>
    </w:p>
    <w:bookmarkEnd w:id="74"/>
    <w:bookmarkStart w:id="75" w:name="topics"/>
    <w:p>
      <w:pPr>
        <w:pStyle w:val="Heading3"/>
      </w:pPr>
      <w:r>
        <w:t xml:space="preserve">7.4.4 Topics</w:t>
      </w:r>
    </w:p>
    <w:p>
      <w:pPr>
        <w:pStyle w:val="FirstParagraph"/>
      </w:pPr>
      <w:r>
        <w:rPr>
          <w:rStyle w:val="VerbatimChar"/>
        </w:rPr>
        <w:t xml:space="preserve">copper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permits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new_projects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competitor_moves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EV_demand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subsea</w:t>
      </w:r>
    </w:p>
    <w:bookmarkEnd w:id="75"/>
    <w:bookmarkStart w:id="76" w:name="minimum-severity"/>
    <w:p>
      <w:pPr>
        <w:pStyle w:val="Heading3"/>
      </w:pPr>
      <w:r>
        <w:t xml:space="preserve">7.4.5 Minimum severity</w:t>
      </w:r>
    </w:p>
    <w:p>
      <w:pPr>
        <w:pStyle w:val="FirstParagraph"/>
      </w:pPr>
      <w:r>
        <w:t xml:space="preserve">Three-segment selector: alerts below this threshold are suppressed across all channels.</w:t>
      </w:r>
    </w:p>
    <w:p>
      <w:pPr>
        <w:pStyle w:val="BlockText"/>
      </w:pPr>
      <w:r>
        <w:t xml:space="preserve">All preferences save instantly — no Save button needed. They drive both the inbox filter and the channel routing in Phase 1.</w:t>
      </w:r>
    </w:p>
    <w:p>
      <w:r>
        <w:pict>
          <v:rect style="width:0;height:1.5pt" o:hralign="center" o:hrstd="t" o:hr="t"/>
        </w:pict>
      </w:r>
    </w:p>
    <w:bookmarkEnd w:id="76"/>
    <w:bookmarkEnd w:id="77"/>
    <w:bookmarkEnd w:id="78"/>
    <w:bookmarkStart w:id="106" w:name="country-id"/>
    <w:p>
      <w:pPr>
        <w:pStyle w:val="Heading1"/>
      </w:pPr>
      <w:r>
        <w:t xml:space="preserve">8. Country ID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Country Identity Card</w:t>
      </w:r>
      <w:r>
        <w:t xml:space="preserve"> </w:t>
      </w:r>
      <w:r>
        <w:t xml:space="preserve">— a per-country deep-dive that mirrors the structure of the Prysmian briefing document (4 quadrants) but enriches each one with AI insights.</w:t>
      </w:r>
    </w:p>
    <w:p>
      <w:pPr>
        <w:pStyle w:val="CaptionedFigure"/>
      </w:pPr>
      <w:r>
        <w:drawing>
          <wp:inline>
            <wp:extent cx="5334000" cy="7723187"/>
            <wp:effectExtent b="0" l="0" r="0" t="0"/>
            <wp:docPr descr="Country ID Italy" title="" id="80" name="Picture"/>
            <a:graphic>
              <a:graphicData uri="http://schemas.openxmlformats.org/drawingml/2006/picture">
                <pic:pic>
                  <pic:nvPicPr>
                    <pic:cNvPr descr="manual-screenshots/10-country-italy.jp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723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Country ID Italy</w:t>
      </w:r>
    </w:p>
    <w:bookmarkStart w:id="82" w:name="breadcrumb-and-country-switcher"/>
    <w:p>
      <w:pPr>
        <w:pStyle w:val="Heading2"/>
      </w:pPr>
      <w:r>
        <w:t xml:space="preserve">8.1 Breadcrumb and country switcher</w:t>
      </w:r>
    </w:p>
    <w:p>
      <w:pPr>
        <w:pStyle w:val="FirstParagraph"/>
      </w:pPr>
      <w:r>
        <w:t xml:space="preserve">A top breadcrumb (</w:t>
      </w:r>
      <w:r>
        <w:rPr>
          <w:rStyle w:val="VerbatimChar"/>
        </w:rPr>
        <w:t xml:space="preserve">Country ID › 🇮🇹 Italy</w:t>
      </w:r>
      <w:r>
        <w:t xml:space="preserve">) plus a country switcher card with flag emojis. Italy has live demo data; other countries (France, Germany, Spain, Netherlands) are marked</w:t>
      </w:r>
      <w:r>
        <w:t xml:space="preserve"> </w:t>
      </w:r>
      <w:r>
        <w:rPr>
          <w:b/>
          <w:bCs/>
        </w:rPr>
        <w:t xml:space="preserve">P2</w:t>
      </w:r>
      <w:r>
        <w:t xml:space="preserve"> </w:t>
      </w:r>
      <w:r>
        <w:t xml:space="preserve">and show a Phase 2 placeholder.</w:t>
      </w:r>
    </w:p>
    <w:bookmarkEnd w:id="82"/>
    <w:bookmarkStart w:id="83" w:name="ai-country-insight-banner"/>
    <w:p>
      <w:pPr>
        <w:pStyle w:val="Heading2"/>
      </w:pPr>
      <w:r>
        <w:t xml:space="preserve">8.2 AI Country Insight banner</w:t>
      </w:r>
    </w:p>
    <w:p>
      <w:pPr>
        <w:pStyle w:val="FirstParagraph"/>
      </w:pPr>
      <w:r>
        <w:t xml:space="preserve">A green-bordered card that</w:t>
      </w:r>
      <w:r>
        <w:t xml:space="preserve"> </w:t>
      </w:r>
      <w:r>
        <w:rPr>
          <w:b/>
          <w:bCs/>
        </w:rPr>
        <w:t xml:space="preserve">auto-narrates</w:t>
      </w:r>
      <w:r>
        <w:t xml:space="preserve"> </w:t>
      </w:r>
      <w:r>
        <w:t xml:space="preserve">the strategic story in natural language:</w:t>
      </w:r>
    </w:p>
    <w:p>
      <w:pPr>
        <w:pStyle w:val="BlockText"/>
      </w:pPr>
      <w:r>
        <w:t xml:space="preserve">Prysmian holds a 58% share-of-wallet across the top 8 customers, on a tracked market of €1,810k. Total white space ~€1,005k across the cluster. Highest gap: Customer D (only 30% share, €225k untapped) — recommended priority for sales expansion.</w:t>
      </w:r>
    </w:p>
    <w:p>
      <w:pPr>
        <w:pStyle w:val="FirstParagraph"/>
      </w:pPr>
      <w:r>
        <w:t xml:space="preserve">The narrative pulls real numbers from the database; it’s not pre-written.</w:t>
      </w:r>
    </w:p>
    <w:bookmarkEnd w:id="83"/>
    <w:bookmarkStart w:id="84" w:name="macro-snapshot-tiles"/>
    <w:p>
      <w:pPr>
        <w:pStyle w:val="Heading2"/>
      </w:pPr>
      <w:r>
        <w:t xml:space="preserve">8.3 Macro snapshot tiles</w:t>
      </w:r>
    </w:p>
    <w:p>
      <w:pPr>
        <w:pStyle w:val="FirstParagraph"/>
      </w:pPr>
      <w:r>
        <w:t xml:space="preserve">Four KPI tiles: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1"/>
        <w:gridCol w:w="569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share of wallet</w:t>
            </w:r>
          </w:p>
        </w:tc>
        <w:tc>
          <w:tcPr/>
          <w:p>
            <w:pPr>
              <w:pStyle w:val="Compact"/>
            </w:pPr>
            <w:r>
              <w:t xml:space="preserve">Sum of Prysmian sales / sum of market value, all customers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 sales (cluster)</w:t>
            </w:r>
          </w:p>
        </w:tc>
        <w:tc>
          <w:tcPr/>
          <w:p>
            <w:pPr>
              <w:pStyle w:val="Compact"/>
            </w:pPr>
            <w:r>
              <w:t xml:space="preserve">Total Prysmian revenue tracked in this country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White space</w:t>
            </w:r>
          </w:p>
        </w:tc>
        <w:tc>
          <w:tcPr/>
          <w:p>
            <w:pPr>
              <w:pStyle w:val="Compact"/>
            </w:pPr>
            <w:r>
              <w:t xml:space="preserve">Total upside vs market (market value − sales)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 trend</w:t>
            </w:r>
          </w:p>
        </w:tc>
        <w:tc>
          <w:tcPr/>
          <w:p>
            <w:pPr>
              <w:pStyle w:val="Compact"/>
            </w:pPr>
            <w:r>
              <w:t xml:space="preserve">Latest GDP indicator value</w:t>
            </w:r>
          </w:p>
        </w:tc>
      </w:tr>
    </w:tbl>
    <w:bookmarkEnd w:id="84"/>
    <w:bookmarkStart w:id="85" w:name="filter-bar-1"/>
    <w:p>
      <w:pPr>
        <w:pStyle w:val="Heading2"/>
      </w:pPr>
      <w:r>
        <w:t xml:space="preserve">8.4 Filter bar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Business Unit chips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I&amp;C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Power Grid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Digital Solutions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Railway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Wind onshore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Solar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Export CSV</w:t>
      </w:r>
      <w:r>
        <w:t xml:space="preserve"> </w:t>
      </w:r>
      <w:r>
        <w:t xml:space="preserve">— top right. Downloads all 4 quadrants as a single CSV file (transition path from Excel).</w:t>
      </w:r>
    </w:p>
    <w:bookmarkEnd w:id="85"/>
    <w:bookmarkStart w:id="90" w:name="the-four-quadrants"/>
    <w:p>
      <w:pPr>
        <w:pStyle w:val="Heading2"/>
      </w:pPr>
      <w:r>
        <w:t xml:space="preserve">8.5 The four quadrants</w:t>
      </w:r>
    </w:p>
    <w:p>
      <w:pPr>
        <w:pStyle w:val="FirstParagraph"/>
      </w:pPr>
      <w:r>
        <w:t xml:space="preserve">The platform preserves the Prysmian Excel mental model but transforms each quadrant into an</w:t>
      </w:r>
      <w:r>
        <w:t xml:space="preserve"> </w:t>
      </w:r>
      <w:r>
        <w:rPr>
          <w:i/>
          <w:iCs/>
        </w:rPr>
        <w:t xml:space="preserve">insight-rich</w:t>
      </w:r>
      <w:r>
        <w:t xml:space="preserve"> </w:t>
      </w:r>
      <w:r>
        <w:t xml:space="preserve">component.</w:t>
      </w:r>
    </w:p>
    <w:bookmarkStart w:id="86" w:name="sales-by-customer"/>
    <w:p>
      <w:pPr>
        <w:pStyle w:val="Heading3"/>
      </w:pPr>
      <w:r>
        <w:t xml:space="preserve">8.5.1 Sales by Customer</w:t>
      </w:r>
    </w:p>
    <w:p>
      <w:pPr>
        <w:pStyle w:val="Compact"/>
        <w:numPr>
          <w:ilvl w:val="0"/>
          <w:numId w:val="1020"/>
        </w:numPr>
      </w:pPr>
      <w:r>
        <w:t xml:space="preserve">Rank number (#1, #2, …)</w:t>
      </w:r>
    </w:p>
    <w:p>
      <w:pPr>
        <w:pStyle w:val="Compact"/>
        <w:numPr>
          <w:ilvl w:val="0"/>
          <w:numId w:val="1020"/>
        </w:numPr>
      </w:pPr>
      <w:r>
        <w:t xml:space="preserve">Customer name (+ owner)</w:t>
      </w:r>
    </w:p>
    <w:p>
      <w:pPr>
        <w:pStyle w:val="Compact"/>
        <w:numPr>
          <w:ilvl w:val="0"/>
          <w:numId w:val="1020"/>
        </w:numPr>
      </w:pPr>
      <w:r>
        <w:t xml:space="preserve">Share % of total country sales</w:t>
      </w:r>
    </w:p>
    <w:p>
      <w:pPr>
        <w:pStyle w:val="Compact"/>
        <w:numPr>
          <w:ilvl w:val="0"/>
          <w:numId w:val="1020"/>
        </w:numPr>
      </w:pPr>
      <w:r>
        <w:t xml:space="preserve">Value in €</w:t>
      </w:r>
    </w:p>
    <w:p>
      <w:pPr>
        <w:pStyle w:val="Compact"/>
        <w:numPr>
          <w:ilvl w:val="0"/>
          <w:numId w:val="1020"/>
        </w:numPr>
      </w:pPr>
      <w:r>
        <w:t xml:space="preserve">Proportional</w:t>
      </w:r>
      <w:r>
        <w:t xml:space="preserve"> </w:t>
      </w:r>
      <w:r>
        <w:rPr>
          <w:b/>
          <w:bCs/>
        </w:rPr>
        <w:t xml:space="preserve">green bar</w:t>
      </w:r>
      <w:r>
        <w:t xml:space="preserve"> </w:t>
      </w:r>
      <w:r>
        <w:t xml:space="preserve">showing relative magnitude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Click any row</w:t>
      </w:r>
      <w:r>
        <w:t xml:space="preserve"> </w:t>
      </w:r>
      <w:r>
        <w:t xml:space="preserve">→ drill-down modal (see §8.6)</w:t>
      </w:r>
    </w:p>
    <w:bookmarkEnd w:id="86"/>
    <w:bookmarkStart w:id="87" w:name="sales-by-product"/>
    <w:p>
      <w:pPr>
        <w:pStyle w:val="Heading3"/>
      </w:pPr>
      <w:r>
        <w:t xml:space="preserve">8.5.2 Sales by Product</w:t>
      </w:r>
    </w:p>
    <w:p>
      <w:pPr>
        <w:pStyle w:val="FirstParagraph"/>
      </w:pPr>
      <w:r>
        <w:t xml:space="preserve">Same pattern as Customer, but</w:t>
      </w:r>
      <w:r>
        <w:t xml:space="preserve"> </w:t>
      </w:r>
      <w:r>
        <w:rPr>
          <w:b/>
          <w:bCs/>
        </w:rPr>
        <w:t xml:space="preserve">blue bars</w:t>
      </w:r>
      <w:r>
        <w:t xml:space="preserve">.</w:t>
      </w:r>
    </w:p>
    <w:bookmarkEnd w:id="87"/>
    <w:bookmarkStart w:id="88" w:name="competitors"/>
    <w:p>
      <w:pPr>
        <w:pStyle w:val="Heading3"/>
      </w:pPr>
      <w:r>
        <w:t xml:space="preserve">8.5.3 Competitors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Tier badge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Tier 1</w:t>
      </w:r>
      <w:r>
        <w:t xml:space="preserve"> </w:t>
      </w:r>
      <w:r>
        <w:t xml:space="preserve">(red) or</w:t>
      </w:r>
      <w:r>
        <w:t xml:space="preserve"> </w:t>
      </w:r>
      <w:r>
        <w:rPr>
          <w:rStyle w:val="VerbatimChar"/>
        </w:rPr>
        <w:t xml:space="preserve">Tier 2</w:t>
      </w:r>
      <w:r>
        <w:t xml:space="preserve"> </w:t>
      </w:r>
      <w:r>
        <w:t xml:space="preserve">(neutral)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Estimated market share %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Momentum chip</w:t>
      </w:r>
      <w:r>
        <w:t xml:space="preserve"> </w:t>
      </w:r>
      <w:r>
        <w:t xml:space="preserve">— 📈 in salita (threat) · 📉 cala (favourable) · ⏸ flat</w:t>
      </w:r>
    </w:p>
    <w:p>
      <w:pPr>
        <w:pStyle w:val="Compact"/>
        <w:numPr>
          <w:ilvl w:val="0"/>
          <w:numId w:val="1021"/>
        </w:numPr>
      </w:pPr>
      <w:r>
        <w:t xml:space="preserve">Red bar showing relative share</w:t>
      </w:r>
    </w:p>
    <w:bookmarkEnd w:id="88"/>
    <w:bookmarkStart w:id="89" w:name="share-of-wallet-ai-insight"/>
    <w:p>
      <w:pPr>
        <w:pStyle w:val="Heading3"/>
      </w:pPr>
      <w:r>
        <w:t xml:space="preserve">8.5.4 Share of Wallet (AI insight) ⭐</w:t>
      </w:r>
    </w:p>
    <w:p>
      <w:pPr>
        <w:pStyle w:val="FirstParagraph"/>
      </w:pPr>
      <w:r>
        <w:t xml:space="preserve">The killer view. Each customer row shows:</w:t>
      </w:r>
    </w:p>
    <w:p>
      <w:pPr>
        <w:pStyle w:val="Compact"/>
        <w:numPr>
          <w:ilvl w:val="0"/>
          <w:numId w:val="1022"/>
        </w:numPr>
      </w:pPr>
      <w:r>
        <w:t xml:space="preserve">Customer name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SoW % badge</w:t>
      </w:r>
      <w:r>
        <w:t xml:space="preserve"> </w:t>
      </w:r>
      <w:r>
        <w:t xml:space="preserve">(red &lt; 40%, blue 40–69%, green ≥ 70%)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€ gap</w:t>
      </w:r>
      <w:r>
        <w:t xml:space="preserve"> </w:t>
      </w:r>
      <w:r>
        <w:t xml:space="preserve">— untapped market for that customer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Stacked bar</w:t>
      </w:r>
      <w:r>
        <w:t xml:space="preserve"> </w:t>
      </w:r>
      <w:r>
        <w:t xml:space="preserve">— Prysmian green (your sales) + amber (gap) — visually shows the white-space opportunity</w:t>
      </w:r>
    </w:p>
    <w:p>
      <w:pPr>
        <w:pStyle w:val="FirstParagraph"/>
      </w:pPr>
      <w:r>
        <w:t xml:space="preserve">The list is</w:t>
      </w:r>
      <w:r>
        <w:t xml:space="preserve"> </w:t>
      </w:r>
      <w:r>
        <w:rPr>
          <w:b/>
          <w:bCs/>
        </w:rPr>
        <w:t xml:space="preserve">sorted by gap descending</w:t>
      </w:r>
      <w:r>
        <w:t xml:space="preserve"> </w:t>
      </w:r>
      <w:r>
        <w:t xml:space="preserve">— the biggest untapped customers float to the top.</w:t>
      </w:r>
    </w:p>
    <w:bookmarkEnd w:id="89"/>
    <w:bookmarkEnd w:id="90"/>
    <w:bookmarkStart w:id="99" w:name="drill-down-on-a-customer"/>
    <w:p>
      <w:pPr>
        <w:pStyle w:val="Heading2"/>
      </w:pPr>
      <w:r>
        <w:t xml:space="preserve">8.6 Drill-down on a customer</w:t>
      </w:r>
    </w:p>
    <w:p>
      <w:pPr>
        <w:pStyle w:val="FirstParagraph"/>
      </w:pPr>
      <w:r>
        <w:t xml:space="preserve">Click any row in</w:t>
      </w:r>
      <w:r>
        <w:t xml:space="preserve"> </w:t>
      </w:r>
      <w:r>
        <w:rPr>
          <w:b/>
          <w:bCs/>
        </w:rPr>
        <w:t xml:space="preserve">Sales by Customer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Share of Wallet</w:t>
      </w:r>
      <w:r>
        <w:t xml:space="preserve"> </w:t>
      </w:r>
      <w:r>
        <w:t xml:space="preserve">to open a 2-tab modal.</w:t>
      </w:r>
    </w:p>
    <w:bookmarkStart w:id="94" w:name="tab-mi-hub-overview"/>
    <w:p>
      <w:pPr>
        <w:pStyle w:val="Heading3"/>
      </w:pPr>
      <w:r>
        <w:t xml:space="preserve">8.6.1 Tab: MI Hub overview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Drill-down overview" title="" id="92" name="Picture"/>
            <a:graphic>
              <a:graphicData uri="http://schemas.openxmlformats.org/drawingml/2006/picture">
                <pic:pic>
                  <pic:nvPicPr>
                    <pic:cNvPr descr="manual-screenshots/11-country-drill-overview.jp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Drill-down overview</w:t>
      </w:r>
    </w:p>
    <w:p>
      <w:pPr>
        <w:numPr>
          <w:ilvl w:val="0"/>
          <w:numId w:val="1023"/>
        </w:numPr>
      </w:pPr>
      <w:r>
        <w:t xml:space="preserve">Tracked value (€)</w:t>
      </w:r>
    </w:p>
    <w:p>
      <w:pPr>
        <w:numPr>
          <w:ilvl w:val="0"/>
          <w:numId w:val="1023"/>
        </w:numPr>
      </w:pPr>
      <w:r>
        <w:t xml:space="preserve">Share of wallet bar</w:t>
      </w:r>
    </w:p>
    <w:p>
      <w:pPr>
        <w:numPr>
          <w:ilvl w:val="0"/>
          <w:numId w:val="1023"/>
        </w:numPr>
      </w:pPr>
      <w:r>
        <w:t xml:space="preserve">Detail context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AI suggestion</w:t>
      </w:r>
      <w:r>
        <w:t xml:space="preserve"> </w:t>
      </w:r>
      <w:r>
        <w:t xml:space="preserve">card — adaptive recommendation:</w:t>
      </w:r>
    </w:p>
    <w:p>
      <w:pPr>
        <w:pStyle w:val="Compact"/>
        <w:numPr>
          <w:ilvl w:val="1"/>
          <w:numId w:val="1024"/>
        </w:numPr>
      </w:pPr>
      <w:r>
        <w:t xml:space="preserve">SoW &lt; 40% →</w:t>
      </w:r>
      <w:r>
        <w:t xml:space="preserve"> </w:t>
      </w:r>
      <w:r>
        <w:t xml:space="preserve">“</w:t>
      </w:r>
      <w:r>
        <w:rPr>
          <w:i/>
          <w:iCs/>
        </w:rPr>
        <w:t xml:space="preserve">Low share. Investigate competitor lock-in and propose share-shift initiative for Q3.</w:t>
      </w:r>
      <w:r>
        <w:t xml:space="preserve">”</w:t>
      </w:r>
    </w:p>
    <w:p>
      <w:pPr>
        <w:pStyle w:val="Compact"/>
        <w:numPr>
          <w:ilvl w:val="1"/>
          <w:numId w:val="1024"/>
        </w:numPr>
      </w:pPr>
      <w:r>
        <w:t xml:space="preserve">SoW 40–69% →</w:t>
      </w:r>
      <w:r>
        <w:t xml:space="preserve"> </w:t>
      </w:r>
      <w:r>
        <w:t xml:space="preserve">“</w:t>
      </w:r>
      <w:r>
        <w:rPr>
          <w:i/>
          <w:iCs/>
        </w:rPr>
        <w:t xml:space="preserve">Stable mid-share. Cross-sell adjacent product lines (HV, accessories) to lift wallet.</w:t>
      </w:r>
      <w:r>
        <w:t xml:space="preserve">”</w:t>
      </w:r>
    </w:p>
    <w:p>
      <w:pPr>
        <w:pStyle w:val="Compact"/>
        <w:numPr>
          <w:ilvl w:val="1"/>
          <w:numId w:val="1024"/>
        </w:numPr>
      </w:pPr>
      <w:r>
        <w:t xml:space="preserve">SoW ≥ 70% →</w:t>
      </w:r>
      <w:r>
        <w:t xml:space="preserve"> </w:t>
      </w:r>
      <w:r>
        <w:t xml:space="preserve">“</w:t>
      </w:r>
      <w:r>
        <w:rPr>
          <w:i/>
          <w:iCs/>
        </w:rPr>
        <w:t xml:space="preserve">Strong incumbent. Defend with multi-year framework and protect margin.</w:t>
      </w:r>
      <w:r>
        <w:t xml:space="preserve">”</w:t>
      </w:r>
    </w:p>
    <w:p>
      <w:pPr>
        <w:numPr>
          <w:ilvl w:val="0"/>
          <w:numId w:val="1023"/>
        </w:numPr>
      </w:pPr>
      <w:r>
        <w:t xml:space="preserve">Footer hint at Phase 1 unlocks: order history, contract list, pipeline, evidence trail.</w:t>
      </w:r>
    </w:p>
    <w:bookmarkEnd w:id="94"/>
    <w:bookmarkStart w:id="98" w:name="tab-salesforce-record"/>
    <w:p>
      <w:pPr>
        <w:pStyle w:val="Heading3"/>
      </w:pPr>
      <w:r>
        <w:t xml:space="preserve">8.6.2 Tab: Salesforce record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Salesforce record" title="" id="96" name="Picture"/>
            <a:graphic>
              <a:graphicData uri="http://schemas.openxmlformats.org/drawingml/2006/picture">
                <pic:pic>
                  <pic:nvPicPr>
                    <pic:cNvPr descr="manual-screenshots/12-salesforce-record.jp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Salesforce record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realistic Salesforce account page</w:t>
      </w:r>
      <w:r>
        <w:t xml:space="preserve"> </w:t>
      </w:r>
      <w:r>
        <w:t xml:space="preserve">rendering using deterministic synthetic data:</w:t>
      </w:r>
    </w:p>
    <w:p>
      <w:pPr>
        <w:pStyle w:val="Compact"/>
        <w:numPr>
          <w:ilvl w:val="0"/>
          <w:numId w:val="1025"/>
        </w:numPr>
      </w:pPr>
      <w:r>
        <w:t xml:space="preserve">Breadcrumb</w:t>
      </w:r>
      <w:r>
        <w:t xml:space="preserve"> </w:t>
      </w:r>
      <w:r>
        <w:rPr>
          <w:rStyle w:val="VerbatimChar"/>
        </w:rPr>
        <w:t xml:space="preserve">Accounts › Customer A</w:t>
      </w:r>
    </w:p>
    <w:p>
      <w:pPr>
        <w:pStyle w:val="Compact"/>
        <w:numPr>
          <w:ilvl w:val="0"/>
          <w:numId w:val="1025"/>
        </w:numPr>
      </w:pPr>
      <w:r>
        <w:t xml:space="preserve">Account avatar with initials, Account ID (e.g.,</w:t>
      </w:r>
      <w:r>
        <w:t xml:space="preserve"> </w:t>
      </w:r>
      <w:r>
        <w:rPr>
          <w:rStyle w:val="VerbatimChar"/>
        </w:rPr>
        <w:t xml:space="preserve">0015e000083065AAA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4-column highlight strip</w:t>
      </w:r>
      <w:r>
        <w:t xml:space="preserve"> </w:t>
      </w:r>
      <w:r>
        <w:t xml:space="preserve">— Type (Tier 1 · Key) · Account Owner (Sofia Conti) · Industry (Utility · Distribution) · Customer since (2018)</w:t>
      </w:r>
    </w:p>
    <w:p>
      <w:pPr>
        <w:pStyle w:val="FirstParagraph"/>
      </w:pPr>
      <w:r>
        <w:t xml:space="preserve">Then 4 panels: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Account information</w:t>
      </w:r>
      <w:r>
        <w:t xml:space="preserve"> </w:t>
      </w:r>
      <w:r>
        <w:t xml:space="preserve">— name, phone, website (clickable, blue), billing country, annual revenue (€), employees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Prysmian relationship</w:t>
      </w:r>
      <w:r>
        <w:t xml:space="preserve"> </w:t>
      </w:r>
      <w:r>
        <w:t xml:space="preserve">— customer tier, sales YTD, SoW %, open opps count, closed/won YTD, last activity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Key contacts</w:t>
      </w:r>
      <w:r>
        <w:t xml:space="preserve"> </w:t>
      </w:r>
      <w:r>
        <w:t xml:space="preserve">— 2 contacts with initials avatars, role and clickable email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Open opportunities</w:t>
      </w:r>
      <w:r>
        <w:t xml:space="preserve"> </w:t>
      </w:r>
      <w:r>
        <w:t xml:space="preserve">— table with stage badge (Qualification/Proposal/Negotiation), amount, close date</w:t>
      </w:r>
    </w:p>
    <w:p>
      <w:pPr>
        <w:pStyle w:val="FirstParagraph"/>
      </w:pPr>
      <w:r>
        <w:t xml:space="preserve">Footer notes that in Phase 1 the button links to the live</w:t>
      </w:r>
      <w:r>
        <w:t xml:space="preserve"> </w:t>
      </w:r>
      <w:r>
        <w:rPr>
          <w:rStyle w:val="VerbatimChar"/>
        </w:rPr>
        <w:t xml:space="preserve">&lt;customer&gt;.my.salesforce.com</w:t>
      </w:r>
      <w:r>
        <w:t xml:space="preserve"> </w:t>
      </w:r>
      <w:r>
        <w:t xml:space="preserve">record.</w:t>
      </w:r>
    </w:p>
    <w:bookmarkEnd w:id="98"/>
    <w:bookmarkEnd w:id="99"/>
    <w:bookmarkStart w:id="104" w:name="drill-down-on-a-product"/>
    <w:p>
      <w:pPr>
        <w:pStyle w:val="Heading2"/>
      </w:pPr>
      <w:r>
        <w:t xml:space="preserve">8.7 Drill-down on a product</w:t>
      </w:r>
    </w:p>
    <w:p>
      <w:pPr>
        <w:pStyle w:val="FirstParagraph"/>
      </w:pPr>
      <w:r>
        <w:t xml:space="preserve">Click a row in</w:t>
      </w:r>
      <w:r>
        <w:t xml:space="preserve"> </w:t>
      </w:r>
      <w:r>
        <w:rPr>
          <w:b/>
          <w:bCs/>
        </w:rPr>
        <w:t xml:space="preserve">Sales by Product</w:t>
      </w:r>
      <w:r>
        <w:t xml:space="preserve"> </w:t>
      </w:r>
      <w:r>
        <w:t xml:space="preserve">to open the same modal but for products.</w:t>
      </w:r>
    </w:p>
    <w:bookmarkStart w:id="103" w:name="tab-sap-material-master"/>
    <w:p>
      <w:pPr>
        <w:pStyle w:val="Heading3"/>
      </w:pPr>
      <w:r>
        <w:t xml:space="preserve">8.7.1 Tab: SAP material master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SAP material master" title="" id="101" name="Picture"/>
            <a:graphic>
              <a:graphicData uri="http://schemas.openxmlformats.org/drawingml/2006/picture">
                <pic:pic>
                  <pic:nvPicPr>
                    <pic:cNvPr descr="manual-screenshots/13-sap-material.jp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SAP material master</w:t>
      </w:r>
    </w:p>
    <w:p>
      <w:pPr>
        <w:pStyle w:val="BodyText"/>
      </w:pPr>
      <w:r>
        <w:t xml:space="preserve">Renders a</w:t>
      </w:r>
      <w:r>
        <w:t xml:space="preserve"> </w:t>
      </w:r>
      <w:r>
        <w:rPr>
          <w:b/>
          <w:bCs/>
        </w:rPr>
        <w:t xml:space="preserve">SAP-Fiori-style material master</w:t>
      </w:r>
      <w:r>
        <w:t xml:space="preserve">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Top blue bar</w:t>
      </w:r>
      <w:r>
        <w:t xml:space="preserve"> </w:t>
      </w:r>
      <w:r>
        <w:t xml:space="preserve">(</w:t>
      </w:r>
      <w:r>
        <w:rPr>
          <w:rStyle w:val="VerbatimChar"/>
        </w:rPr>
        <w:t xml:space="preserve">#0070F2</w:t>
      </w:r>
      <w:r>
        <w:t xml:space="preserve"> </w:t>
      </w:r>
      <w:r>
        <w:t xml:space="preserve">SAP blue) with breadcrumb</w:t>
      </w:r>
      <w:r>
        <w:t xml:space="preserve"> </w:t>
      </w:r>
      <w:r>
        <w:rPr>
          <w:rStyle w:val="VerbatimChar"/>
        </w:rPr>
        <w:t xml:space="preserve">SAP › Material Master · Display › PRY-MV-45489 · Client 100 · EUR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Material header</w:t>
      </w:r>
      <w:r>
        <w:t xml:space="preserve"> </w:t>
      </w:r>
      <w:r>
        <w:t xml:space="preserve">— mono-coded</w:t>
      </w:r>
      <w:r>
        <w:t xml:space="preserve"> </w:t>
      </w:r>
      <w:r>
        <w:rPr>
          <w:rStyle w:val="VerbatimChar"/>
        </w:rPr>
        <w:t xml:space="preserve">PRY-MV/HV/LV-XXXXX</w:t>
      </w:r>
      <w:r>
        <w:t xml:space="preserve">, material type badge (</w:t>
      </w:r>
      <w:r>
        <w:rPr>
          <w:rStyle w:val="VerbatimChar"/>
        </w:rPr>
        <w:t xml:space="preserve">FERT — Finished good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HALB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ROH</w:t>
      </w:r>
      <w:r>
        <w:t xml:space="preserve">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4 metadata cells</w:t>
      </w:r>
      <w:r>
        <w:t xml:space="preserve"> </w:t>
      </w:r>
      <w:r>
        <w:t xml:space="preserve">— material group, base UoM (KM/M/KG), industry sector, plant scope</w:t>
      </w:r>
    </w:p>
    <w:p>
      <w:pPr>
        <w:pStyle w:val="FirstParagraph"/>
      </w:pPr>
      <w:r>
        <w:t xml:space="preserve">Four panels: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Basic data 1</w:t>
      </w:r>
      <w:r>
        <w:t xml:space="preserve"> </w:t>
      </w:r>
      <w:r>
        <w:t xml:space="preserve">— material number, description, type, group, base UoM, gross weight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Sales: sales org. data</w:t>
      </w:r>
      <w:r>
        <w:t xml:space="preserve"> </w:t>
      </w:r>
      <w:r>
        <w:t xml:space="preserve">— sales org (IT00 — Prysmian Italia), distribution channel, standard price, moving avg price, tax classification, sales status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Plants &amp; storage</w:t>
      </w:r>
      <w:r>
        <w:t xml:space="preserve"> </w:t>
      </w:r>
      <w:r>
        <w:t xml:space="preserve">— table with plant codes (IT01 — Pignataro Maggiore, IT02 — Battipaglia, IT05 — Livorno), storage location, MRP type, stock, lead time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MI Hub link</w:t>
      </w:r>
      <w:r>
        <w:t xml:space="preserve"> </w:t>
      </w:r>
      <w:r>
        <w:t xml:space="preserve">— sales YTD, volume YTD, top customer</w:t>
      </w:r>
    </w:p>
    <w:p>
      <w:pPr>
        <w:pStyle w:val="FirstParagraph"/>
      </w:pPr>
      <w:r>
        <w:t xml:space="preserve">Footer notes that in Phase 1 the integration calls SAP RFC</w:t>
      </w:r>
      <w:r>
        <w:t xml:space="preserve"> </w:t>
      </w:r>
      <w:r>
        <w:rPr>
          <w:rStyle w:val="VerbatimChar"/>
        </w:rPr>
        <w:t xml:space="preserve">BAPI_MATERIAL_GET_DETAIL</w:t>
      </w:r>
      <w:r>
        <w:t xml:space="preserve">.</w:t>
      </w:r>
    </w:p>
    <w:bookmarkEnd w:id="103"/>
    <w:bookmarkEnd w:id="104"/>
    <w:bookmarkStart w:id="105" w:name="country-news-active-alerts"/>
    <w:p>
      <w:pPr>
        <w:pStyle w:val="Heading2"/>
      </w:pPr>
      <w:r>
        <w:t xml:space="preserve">8.8 Country news + Active alerts</w:t>
      </w:r>
    </w:p>
    <w:p>
      <w:pPr>
        <w:pStyle w:val="FirstParagraph"/>
      </w:pPr>
      <w:r>
        <w:t xml:space="preserve">Below the quadrants: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Latest news</w:t>
      </w:r>
      <w:r>
        <w:t xml:space="preserve"> </w:t>
      </w:r>
      <w:r>
        <w:t xml:space="preserve">(wide) — articles mentioning this country, with source · time ·</w:t>
      </w:r>
      <w:r>
        <w:t xml:space="preserve"> </w:t>
      </w:r>
      <w:r>
        <w:t xml:space="preserve">“High”</w:t>
      </w:r>
      <w:r>
        <w:t xml:space="preserve"> </w:t>
      </w:r>
      <w:r>
        <w:t xml:space="preserve">relevance chip if score ≥ 0.7. Click an item to open the source.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Active alerts</w:t>
      </w:r>
      <w:r>
        <w:t xml:space="preserve"> </w:t>
      </w:r>
      <w:r>
        <w:t xml:space="preserve">(narrow) — live alerts filtered by this country, with severity badge, agent label, confidence %.</w:t>
      </w:r>
      <w:r>
        <w:t xml:space="preserve"> </w:t>
      </w:r>
      <w:r>
        <w:t xml:space="preserve">“Open Alerts inbox”</w:t>
      </w:r>
      <w:r>
        <w:t xml:space="preserve"> </w:t>
      </w:r>
      <w:r>
        <w:t xml:space="preserve">button at the bottom.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4" w:name="compare-multi-country"/>
    <w:p>
      <w:pPr>
        <w:pStyle w:val="Heading1"/>
      </w:pPr>
      <w:r>
        <w:t xml:space="preserve">9. Compare (multi-country)</w:t>
      </w:r>
    </w:p>
    <w:p>
      <w:pPr>
        <w:pStyle w:val="CaptionedFigure"/>
      </w:pPr>
      <w:r>
        <w:drawing>
          <wp:inline>
            <wp:extent cx="5334000" cy="4541308"/>
            <wp:effectExtent b="0" l="0" r="0" t="0"/>
            <wp:docPr descr="Compare view" title="" id="108" name="Picture"/>
            <a:graphic>
              <a:graphicData uri="http://schemas.openxmlformats.org/drawingml/2006/picture">
                <pic:pic>
                  <pic:nvPicPr>
                    <pic:cNvPr descr="manual-screenshots/14-compare.jp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413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Compare view</w:t>
      </w:r>
    </w:p>
    <w:p>
      <w:pPr>
        <w:pStyle w:val="BodyText"/>
      </w:pPr>
      <w:r>
        <w:t xml:space="preserve">Side-by-side comparison of up to 4 countries.</w:t>
      </w:r>
    </w:p>
    <w:bookmarkStart w:id="110" w:name="country-selector"/>
    <w:p>
      <w:pPr>
        <w:pStyle w:val="Heading2"/>
      </w:pPr>
      <w:r>
        <w:t xml:space="preserve">9.1 Country selector</w:t>
      </w:r>
    </w:p>
    <w:p>
      <w:pPr>
        <w:pStyle w:val="FirstParagraph"/>
      </w:pPr>
      <w:r>
        <w:t xml:space="preserve">5 countries available, each with flag emoji and one-line focus blurb (e.g., Germany —</w:t>
      </w:r>
      <w:r>
        <w:t xml:space="preserve"> </w:t>
      </w:r>
      <w:r>
        <w:t xml:space="preserve">“Energiewende leader”</w:t>
      </w:r>
      <w:r>
        <w:t xml:space="preserve">). Click to select/deselect. Active countries show in green; when 4 are selected, others are disabled.</w:t>
      </w:r>
    </w:p>
    <w:bookmarkEnd w:id="110"/>
    <w:bookmarkStart w:id="111" w:name="header-tiles"/>
    <w:p>
      <w:pPr>
        <w:pStyle w:val="Heading2"/>
      </w:pPr>
      <w:r>
        <w:t xml:space="preserve">9.2 Header tiles</w:t>
      </w:r>
    </w:p>
    <w:p>
      <w:pPr>
        <w:pStyle w:val="FirstParagraph"/>
      </w:pPr>
      <w:r>
        <w:t xml:space="preserve">For each selected country: a navy gradient card with flag, country name, focus tagline, and a</w:t>
      </w:r>
      <w:r>
        <w:t xml:space="preserve"> </w:t>
      </w:r>
      <w:r>
        <w:rPr>
          <w:i/>
          <w:iCs/>
        </w:rPr>
        <w:t xml:space="preserve">Country ID →</w:t>
      </w:r>
      <w:r>
        <w:t xml:space="preserve"> </w:t>
      </w:r>
      <w:r>
        <w:t xml:space="preserve">deep-link.</w:t>
      </w:r>
    </w:p>
    <w:bookmarkEnd w:id="111"/>
    <w:bookmarkStart w:id="112" w:name="comparable-metric-rows"/>
    <w:p>
      <w:pPr>
        <w:pStyle w:val="Heading2"/>
      </w:pPr>
      <w:r>
        <w:t xml:space="preserve">9.3 Comparable metric rows</w:t>
      </w:r>
    </w:p>
    <w:p>
      <w:pPr>
        <w:pStyle w:val="FirstParagraph"/>
      </w:pPr>
      <w:r>
        <w:t xml:space="preserve">Five rows, each showing the metric label on the left and the value per country with a</w:t>
      </w:r>
      <w:r>
        <w:t xml:space="preserve"> </w:t>
      </w:r>
      <w:r>
        <w:rPr>
          <w:b/>
          <w:bCs/>
        </w:rPr>
        <w:t xml:space="preserve">proportional bar</w:t>
      </w:r>
      <w:r>
        <w:t xml:space="preserve"> </w:t>
      </w:r>
      <w:r>
        <w:t xml:space="preserve">scaled across the cohort: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Mining projects</w:t>
            </w:r>
          </w:p>
        </w:tc>
        <w:tc>
          <w:tcPr/>
          <w:p>
            <w:pPr>
              <w:pStyle w:val="Compact"/>
            </w:pPr>
            <w:r>
              <w:t xml:space="preserve">count of projects in country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CAPEX exposure</w:t>
            </w:r>
          </w:p>
        </w:tc>
        <w:tc>
          <w:tcPr/>
          <w:p>
            <w:pPr>
              <w:pStyle w:val="Compact"/>
            </w:pPr>
            <w:r>
              <w:t xml:space="preserve">sum of project CAPEX (€)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Cable demand est.</w:t>
            </w:r>
          </w:p>
        </w:tc>
        <w:tc>
          <w:tcPr/>
          <w:p>
            <w:pPr>
              <w:pStyle w:val="Compact"/>
            </w:pPr>
            <w:r>
              <w:t xml:space="preserve">km estimate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 mentions (30d)</w:t>
            </w:r>
          </w:p>
        </w:tc>
        <w:tc>
          <w:tcPr/>
          <w:p>
            <w:pPr>
              <w:pStyle w:val="Compact"/>
            </w:pPr>
            <w:r>
              <w:t xml:space="preserve">news articles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Flagged of interest</w:t>
            </w:r>
          </w:p>
        </w:tc>
        <w:tc>
          <w:tcPr/>
          <w:p>
            <w:pPr>
              <w:pStyle w:val="Compact"/>
            </w:pPr>
            <w:r>
              <w:t xml:space="preserve">strategic flags</w:t>
            </w:r>
          </w:p>
        </w:tc>
      </w:tr>
    </w:tbl>
    <w:bookmarkEnd w:id="112"/>
    <w:bookmarkStart w:id="113" w:name="top-signals-row"/>
    <w:p>
      <w:pPr>
        <w:pStyle w:val="Heading2"/>
      </w:pPr>
      <w:r>
        <w:t xml:space="preserve">9.4 Top signals row</w:t>
      </w:r>
    </w:p>
    <w:p>
      <w:pPr>
        <w:pStyle w:val="FirstParagraph"/>
      </w:pPr>
      <w:r>
        <w:t xml:space="preserve">Below the metric rows, a per-country panel with: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Top projects</w:t>
      </w:r>
      <w:r>
        <w:t xml:space="preserve"> </w:t>
      </w:r>
      <w:r>
        <w:t xml:space="preserve">(up to 3)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Recent news</w:t>
      </w:r>
      <w:r>
        <w:t xml:space="preserve"> </w:t>
      </w:r>
      <w:r>
        <w:t xml:space="preserve">(up to 3) — clickable to the source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22" w:name="market-trends"/>
    <w:p>
      <w:pPr>
        <w:pStyle w:val="Heading1"/>
      </w:pPr>
      <w:r>
        <w:t xml:space="preserve">10. Market Trends</w:t>
      </w:r>
    </w:p>
    <w:p>
      <w:pPr>
        <w:pStyle w:val="FirstParagraph"/>
      </w:pPr>
      <w:r>
        <w:t xml:space="preserve">Macroeconomic and commodity charts driving cable demand.</w:t>
      </w:r>
    </w:p>
    <w:p>
      <w:pPr>
        <w:pStyle w:val="CaptionedFigure"/>
      </w:pPr>
      <w:r>
        <w:drawing>
          <wp:inline>
            <wp:extent cx="5334000" cy="4967287"/>
            <wp:effectExtent b="0" l="0" r="0" t="0"/>
            <wp:docPr descr="Trends" title="" id="116" name="Picture"/>
            <a:graphic>
              <a:graphicData uri="http://schemas.openxmlformats.org/drawingml/2006/picture">
                <pic:pic>
                  <pic:nvPicPr>
                    <pic:cNvPr descr="manual-screenshots/15-trends.jp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672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Trends</w:t>
      </w:r>
    </w:p>
    <w:bookmarkStart w:id="118" w:name="top-controls"/>
    <w:p>
      <w:pPr>
        <w:pStyle w:val="Heading2"/>
      </w:pPr>
      <w:r>
        <w:t xml:space="preserve">10.1 Top controls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Country switcher</w:t>
      </w:r>
      <w:r>
        <w:t xml:space="preserve"> </w:t>
      </w:r>
      <w:r>
        <w:t xml:space="preserve">— segmented control for the 5 EU countries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Time range</w:t>
      </w:r>
      <w:r>
        <w:t xml:space="preserve"> </w:t>
      </w:r>
      <w:r>
        <w:t xml:space="preserve">segmented control —</w:t>
      </w:r>
      <w:r>
        <w:t xml:space="preserve"> </w:t>
      </w:r>
      <w:r>
        <w:rPr>
          <w:rStyle w:val="VerbatimChar"/>
        </w:rPr>
        <w:t xml:space="preserve">12M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24M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All</w:t>
      </w:r>
    </w:p>
    <w:bookmarkEnd w:id="118"/>
    <w:bookmarkStart w:id="119" w:name="copper-price-hero-card"/>
    <w:p>
      <w:pPr>
        <w:pStyle w:val="Heading2"/>
      </w:pPr>
      <w:r>
        <w:t xml:space="preserve">10.2 Copper price hero card</w:t>
      </w:r>
    </w:p>
    <w:p>
      <w:pPr>
        <w:pStyle w:val="FirstParagraph"/>
      </w:pPr>
      <w:r>
        <w:t xml:space="preserve">The headline chart:</w:t>
      </w:r>
    </w:p>
    <w:p>
      <w:pPr>
        <w:numPr>
          <w:ilvl w:val="0"/>
          <w:numId w:val="1032"/>
        </w:numPr>
      </w:pPr>
      <w:r>
        <w:t xml:space="preserve">Latest price + delta chip (% change over the selected range)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Area chart</w:t>
      </w:r>
      <w:r>
        <w:t xml:space="preserve"> </w:t>
      </w:r>
      <w:r>
        <w:t xml:space="preserve">with green gradient and a red dot marking the</w:t>
      </w:r>
      <w:r>
        <w:t xml:space="preserve"> </w:t>
      </w:r>
      <w:r>
        <w:rPr>
          <w:b/>
          <w:bCs/>
        </w:rPr>
        <w:t xml:space="preserve">peak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AI annotation strip</w:t>
      </w:r>
      <w:r>
        <w:t xml:space="preserve"> </w:t>
      </w:r>
      <w:r>
        <w:t xml:space="preserve">under the chart explaining the move:</w:t>
      </w:r>
    </w:p>
    <w:p>
      <w:pPr>
        <w:pStyle w:val="BlockText"/>
        <w:numPr>
          <w:ilvl w:val="0"/>
          <w:numId w:val="1000"/>
        </w:numPr>
      </w:pPr>
      <w:r>
        <w:t xml:space="preserve">AI annotation: Peak observed in 2026-04 — supply tightening + EV grid investment driving structural support. Confidence 87%.</w:t>
      </w:r>
    </w:p>
    <w:bookmarkEnd w:id="119"/>
    <w:bookmarkStart w:id="120" w:name="indicator-grid"/>
    <w:p>
      <w:pPr>
        <w:pStyle w:val="Heading2"/>
      </w:pPr>
      <w:r>
        <w:t xml:space="preserve">10.3 Indicator grid</w:t>
      </w:r>
    </w:p>
    <w:p>
      <w:pPr>
        <w:pStyle w:val="FirstParagraph"/>
      </w:pPr>
      <w:r>
        <w:t xml:space="preserve">For the selected country, mini-cards for the macro indicators:</w:t>
      </w:r>
    </w:p>
    <w:p>
      <w:pPr>
        <w:pStyle w:val="Compact"/>
        <w:numPr>
          <w:ilvl w:val="0"/>
          <w:numId w:val="1033"/>
        </w:numPr>
      </w:pPr>
      <w:r>
        <w:t xml:space="preserve">Construction output</w:t>
      </w:r>
    </w:p>
    <w:p>
      <w:pPr>
        <w:pStyle w:val="Compact"/>
        <w:numPr>
          <w:ilvl w:val="0"/>
          <w:numId w:val="1033"/>
        </w:numPr>
      </w:pPr>
      <w:r>
        <w:t xml:space="preserve">Non-residential market output</w:t>
      </w:r>
    </w:p>
    <w:p>
      <w:pPr>
        <w:pStyle w:val="Compact"/>
        <w:numPr>
          <w:ilvl w:val="0"/>
          <w:numId w:val="1033"/>
        </w:numPr>
      </w:pPr>
      <w:r>
        <w:t xml:space="preserve">Residential market output</w:t>
      </w:r>
    </w:p>
    <w:p>
      <w:pPr>
        <w:pStyle w:val="Compact"/>
        <w:numPr>
          <w:ilvl w:val="0"/>
          <w:numId w:val="1033"/>
        </w:numPr>
      </w:pPr>
      <w:r>
        <w:t xml:space="preserve">GDP</w:t>
      </w:r>
    </w:p>
    <w:p>
      <w:pPr>
        <w:pStyle w:val="FirstParagraph"/>
      </w:pPr>
      <w:r>
        <w:t xml:space="preserve">Each card shows: label, latest value, delta % chip, sparkline area chart, AI insight footer (one-line narrative from the agent).</w:t>
      </w:r>
    </w:p>
    <w:bookmarkEnd w:id="120"/>
    <w:bookmarkStart w:id="121" w:name="building-permits-ytd-bar-chart"/>
    <w:p>
      <w:pPr>
        <w:pStyle w:val="Heading2"/>
      </w:pPr>
      <w:r>
        <w:t xml:space="preserve">10.4 Building permits YTD bar chart</w:t>
      </w:r>
    </w:p>
    <w:p>
      <w:pPr>
        <w:pStyle w:val="FirstParagraph"/>
      </w:pPr>
      <w:r>
        <w:t xml:space="preserve">A wider bar chart for</w:t>
      </w:r>
      <w:r>
        <w:t xml:space="preserve"> </w:t>
      </w:r>
      <w:r>
        <w:rPr>
          <w:b/>
          <w:bCs/>
        </w:rPr>
        <w:t xml:space="preserve">building permits</w:t>
      </w:r>
      <w:r>
        <w:t xml:space="preserve"> </w:t>
      </w:r>
      <w:r>
        <w:t xml:space="preserve">— a leading indicator for residential cable demand — with custom tooltips and AI insight footer.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31" w:name="projects-pipeline-tracker"/>
    <w:p>
      <w:pPr>
        <w:pStyle w:val="Heading1"/>
      </w:pPr>
      <w:r>
        <w:t xml:space="preserve">11. Projects (pipeline tracker)</w:t>
      </w:r>
    </w:p>
    <w:p>
      <w:pPr>
        <w:pStyle w:val="CaptionedFigure"/>
      </w:pPr>
      <w:r>
        <w:drawing>
          <wp:inline>
            <wp:extent cx="5334000" cy="5511800"/>
            <wp:effectExtent b="0" l="0" r="0" t="0"/>
            <wp:docPr descr="Projects" title="" id="124" name="Picture"/>
            <a:graphic>
              <a:graphicData uri="http://schemas.openxmlformats.org/drawingml/2006/picture">
                <pic:pic>
                  <pic:nvPicPr>
                    <pic:cNvPr descr="manual-screenshots/16-projects.jp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11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Projects</w:t>
      </w:r>
    </w:p>
    <w:p>
      <w:pPr>
        <w:pStyle w:val="BodyText"/>
      </w:pPr>
      <w:r>
        <w:t xml:space="preserve">The mining/grid/renewable project pipeline.</w:t>
      </w:r>
    </w:p>
    <w:bookmarkStart w:id="126" w:name="top-bar"/>
    <w:p>
      <w:pPr>
        <w:pStyle w:val="Heading2"/>
      </w:pPr>
      <w:r>
        <w:t xml:space="preserve">11.1 Top bar</w:t>
      </w:r>
    </w:p>
    <w:p>
      <w:pPr>
        <w:pStyle w:val="Compact"/>
        <w:numPr>
          <w:ilvl w:val="0"/>
          <w:numId w:val="1034"/>
        </w:numPr>
      </w:pPr>
      <w:r>
        <w:t xml:space="preserve">Title with total count and filtered match count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Refresh from sources</w:t>
      </w:r>
      <w:r>
        <w:t xml:space="preserve"> </w:t>
      </w:r>
      <w:r>
        <w:t xml:space="preserve">— triggers the Project Scouting agent on-demand</w:t>
      </w:r>
    </w:p>
    <w:bookmarkEnd w:id="126"/>
    <w:bookmarkStart w:id="127" w:name="ai-insight-callout"/>
    <w:p>
      <w:pPr>
        <w:pStyle w:val="Heading2"/>
      </w:pPr>
      <w:r>
        <w:t xml:space="preserve">11.2 AI Insight callout</w:t>
      </w:r>
    </w:p>
    <w:p>
      <w:pPr>
        <w:pStyle w:val="FirstParagraph"/>
      </w:pPr>
      <w:r>
        <w:t xml:space="preserve">One-sentence narrative summing up the filtered cohort:</w:t>
      </w:r>
    </w:p>
    <w:p>
      <w:pPr>
        <w:pStyle w:val="BlockText"/>
      </w:pPr>
      <w:r>
        <w:t xml:space="preserve">17 projects shown. Total CAPEX exposure: $4,500M. Estimated cable demand: 420 km. 17 new from last agent run.</w:t>
      </w:r>
    </w:p>
    <w:bookmarkEnd w:id="127"/>
    <w:bookmarkStart w:id="128" w:name="filter-bar-2"/>
    <w:p>
      <w:pPr>
        <w:pStyle w:val="Heading2"/>
      </w:pPr>
      <w:r>
        <w:t xml:space="preserve">11.3 Filter bar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Search</w:t>
      </w:r>
      <w:r>
        <w:t xml:space="preserve"> </w:t>
      </w:r>
      <w:r>
        <w:t xml:space="preserve">— name, owner, country, status (text input with clear button)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Country</w:t>
      </w:r>
      <w:r>
        <w:t xml:space="preserve"> </w:t>
      </w:r>
      <w:r>
        <w:t xml:space="preserve">select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select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Owner</w:t>
      </w:r>
      <w:r>
        <w:t xml:space="preserve"> </w:t>
      </w:r>
      <w:r>
        <w:t xml:space="preserve">select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Flagged only</w:t>
      </w:r>
      <w:r>
        <w:t xml:space="preserve"> </w:t>
      </w:r>
      <w:r>
        <w:t xml:space="preserve">toggle (star icon)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Clear filters</w:t>
      </w:r>
      <w:r>
        <w:t xml:space="preserve"> </w:t>
      </w:r>
      <w:r>
        <w:t xml:space="preserve">— appears when active</w:t>
      </w:r>
    </w:p>
    <w:bookmarkEnd w:id="128"/>
    <w:bookmarkStart w:id="129" w:name="project-table"/>
    <w:p>
      <w:pPr>
        <w:pStyle w:val="Heading2"/>
      </w:pPr>
      <w:r>
        <w:t xml:space="preserve">11.4 Project table</w:t>
      </w:r>
    </w:p>
    <w:p>
      <w:pPr>
        <w:pStyle w:val="FirstParagraph"/>
      </w:pPr>
      <w:r>
        <w:t xml:space="preserve">Columns: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67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Name (clickable to detail) + owner + ⭐ if flagged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Country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Colored badge (planning/under construction/operational)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$XXXM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Cable km</w:t>
            </w:r>
          </w:p>
        </w:tc>
        <w:tc>
          <w:tcPr/>
          <w:p>
            <w:pPr>
              <w:pStyle w:val="Compact"/>
            </w:pPr>
            <w:r>
              <w:t xml:space="preserve">Estimated km of cable demand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Years</w:t>
            </w:r>
          </w:p>
        </w:tc>
        <w:tc>
          <w:tcPr/>
          <w:p>
            <w:pPr>
              <w:pStyle w:val="Compact"/>
            </w:pPr>
            <w:r>
              <w:t xml:space="preserve">Start–End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live</w:t>
            </w:r>
            <w:r>
              <w:t xml:space="preserve"> </w:t>
            </w:r>
            <w:r>
              <w:t xml:space="preserve">(from agent) or</w:t>
            </w:r>
            <w:r>
              <w:t xml:space="preserve"> </w:t>
            </w:r>
            <w:r>
              <w:rPr>
                <w:rStyle w:val="VerbatimChar"/>
              </w:rPr>
              <w:t xml:space="preserve">seed</w:t>
            </w:r>
            <w:r>
              <w:t xml:space="preserve">, with ↗ external-link icon</w:t>
            </w:r>
          </w:p>
        </w:tc>
      </w:tr>
    </w:tbl>
    <w:p>
      <w:pPr>
        <w:pStyle w:val="BodyText"/>
      </w:pPr>
      <w:r>
        <w:t xml:space="preserve">Click any row →</w:t>
      </w:r>
      <w:r>
        <w:t xml:space="preserve"> </w:t>
      </w:r>
      <w:r>
        <w:rPr>
          <w:b/>
          <w:bCs/>
        </w:rPr>
        <w:t xml:space="preserve">Project detail page</w:t>
      </w:r>
      <w:r>
        <w:t xml:space="preserve">.</w:t>
      </w:r>
    </w:p>
    <w:bookmarkEnd w:id="129"/>
    <w:bookmarkStart w:id="130" w:name="project-detail-page"/>
    <w:p>
      <w:pPr>
        <w:pStyle w:val="Heading2"/>
      </w:pPr>
      <w:r>
        <w:t xml:space="preserve">11.5 Project detail page</w:t>
      </w:r>
    </w:p>
    <w:p>
      <w:pPr>
        <w:pStyle w:val="FirstParagraph"/>
      </w:pPr>
      <w:r>
        <w:t xml:space="preserve">A drill-down screen with:</w:t>
      </w:r>
    </w:p>
    <w:p>
      <w:pPr>
        <w:pStyle w:val="Compact"/>
        <w:numPr>
          <w:ilvl w:val="0"/>
          <w:numId w:val="1036"/>
        </w:numPr>
      </w:pPr>
      <w:r>
        <w:t xml:space="preserve">Breadcrumb · Hero with badges, owner, country, status · Evidence + Source buttons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4 KPI tiles</w:t>
      </w:r>
      <w:r>
        <w:t xml:space="preserve"> </w:t>
      </w:r>
      <w:r>
        <w:t xml:space="preserve">— CAPEX · Capacity · Cable demand · Lifecycle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Project timeline</w:t>
      </w:r>
      <w:r>
        <w:t xml:space="preserve"> </w:t>
      </w:r>
      <w:r>
        <w:t xml:space="preserve">— auto-built milestones with colored status dots (Project announced · Permitting · Construction · Operational · End-of-life)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AI Insight</w:t>
      </w:r>
      <w:r>
        <w:t xml:space="preserve"> </w:t>
      </w:r>
      <w:r>
        <w:t xml:space="preserve">card — auto-narrated paragraph with confidence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Evidence trail</w:t>
      </w:r>
      <w:r>
        <w:t xml:space="preserve"> </w:t>
      </w:r>
      <w:r>
        <w:t xml:space="preserve">entry point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Related news</w:t>
      </w:r>
      <w:r>
        <w:t xml:space="preserve"> </w:t>
      </w:r>
      <w:r>
        <w:t xml:space="preserve">— articles mentioning the same country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6" w:name="news-reports"/>
    <w:p>
      <w:pPr>
        <w:pStyle w:val="Heading1"/>
      </w:pPr>
      <w:r>
        <w:t xml:space="preserve">12. News &amp; Reports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News &amp; Reports" title="" id="133" name="Picture"/>
            <a:graphic>
              <a:graphicData uri="http://schemas.openxmlformats.org/drawingml/2006/picture">
                <pic:pic>
                  <pic:nvPicPr>
                    <pic:cNvPr descr="manual-screenshots/17-news.jp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News &amp; Reports</w:t>
      </w:r>
    </w:p>
    <w:p>
      <w:pPr>
        <w:pStyle w:val="BodyText"/>
      </w:pPr>
      <w:r>
        <w:t xml:space="preserve">Full news feed (the</w:t>
      </w:r>
      <w:r>
        <w:t xml:space="preserve"> </w:t>
      </w:r>
      <w:r>
        <w:rPr>
          <w:b/>
          <w:bCs/>
        </w:rPr>
        <w:t xml:space="preserve">News Finder</w:t>
      </w:r>
      <w:r>
        <w:t xml:space="preserve"> </w:t>
      </w:r>
      <w:r>
        <w:t xml:space="preserve">agent’s output). Filterable, searchable, with relevance scoring.</w:t>
      </w:r>
    </w:p>
    <w:bookmarkStart w:id="135" w:name="list-view"/>
    <w:p>
      <w:pPr>
        <w:pStyle w:val="Heading2"/>
      </w:pPr>
      <w:r>
        <w:t xml:space="preserve">12.1 List view</w:t>
      </w:r>
    </w:p>
    <w:p>
      <w:pPr>
        <w:pStyle w:val="FirstParagraph"/>
      </w:pPr>
      <w:r>
        <w:t xml:space="preserve">For each article:</w:t>
      </w:r>
    </w:p>
    <w:p>
      <w:pPr>
        <w:pStyle w:val="Compact"/>
        <w:numPr>
          <w:ilvl w:val="0"/>
          <w:numId w:val="1037"/>
        </w:numPr>
      </w:pPr>
      <w:r>
        <w:t xml:space="preserve">Source · publication date</w:t>
      </w:r>
    </w:p>
    <w:p>
      <w:pPr>
        <w:pStyle w:val="Compact"/>
        <w:numPr>
          <w:ilvl w:val="0"/>
          <w:numId w:val="1037"/>
        </w:numPr>
      </w:pPr>
      <w:r>
        <w:t xml:space="preserve">Title (link to source)</w:t>
      </w:r>
    </w:p>
    <w:p>
      <w:pPr>
        <w:pStyle w:val="Compact"/>
        <w:numPr>
          <w:ilvl w:val="0"/>
          <w:numId w:val="1037"/>
        </w:numPr>
      </w:pPr>
      <w:r>
        <w:t xml:space="preserve">2-line summary</w:t>
      </w:r>
    </w:p>
    <w:p>
      <w:pPr>
        <w:pStyle w:val="Compact"/>
        <w:numPr>
          <w:ilvl w:val="0"/>
          <w:numId w:val="1037"/>
        </w:numPr>
      </w:pPr>
      <w:r>
        <w:t xml:space="preserve">Country tags · segment tags</w:t>
      </w:r>
    </w:p>
    <w:p>
      <w:pPr>
        <w:pStyle w:val="Compact"/>
        <w:numPr>
          <w:ilvl w:val="0"/>
          <w:numId w:val="1037"/>
        </w:numPr>
      </w:pPr>
      <w:r>
        <w:t xml:space="preserve">Relevance score chip</w:t>
      </w:r>
    </w:p>
    <w:p>
      <w:pPr>
        <w:pStyle w:val="FirstParagraph"/>
      </w:pPr>
      <w:r>
        <w:t xml:space="preserve">Click the title to open the source in a new tab.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37" w:name="evidence-bundle"/>
    <w:p>
      <w:pPr>
        <w:pStyle w:val="Heading1"/>
      </w:pPr>
      <w:r>
        <w:t xml:space="preserve">13. Evidence Bundle</w:t>
      </w:r>
    </w:p>
    <w:p>
      <w:pPr>
        <w:pStyle w:val="FirstParagraph"/>
      </w:pPr>
      <w:r>
        <w:t xml:space="preserve">Across the platform, anywhere you see an</w:t>
      </w:r>
      <w:r>
        <w:t xml:space="preserve"> </w:t>
      </w:r>
      <w:r>
        <w:rPr>
          <w:b/>
          <w:bCs/>
        </w:rPr>
        <w:t xml:space="preserve">Evidence bundle</w:t>
      </w:r>
      <w:r>
        <w:t xml:space="preserve"> </w:t>
      </w:r>
      <w:r>
        <w:t xml:space="preserve">button (Review queue detail, Project detail, AI Insight cards), clicking it opens a modal showing:</w:t>
      </w:r>
    </w:p>
    <w:p>
      <w:pPr>
        <w:pStyle w:val="Compact"/>
        <w:numPr>
          <w:ilvl w:val="0"/>
          <w:numId w:val="103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source URL(s)</w:t>
      </w:r>
      <w:r>
        <w:t xml:space="preserve"> </w:t>
      </w:r>
      <w:r>
        <w:t xml:space="preserve">the AI used</w:t>
      </w:r>
    </w:p>
    <w:p>
      <w:pPr>
        <w:pStyle w:val="Compact"/>
        <w:numPr>
          <w:ilvl w:val="0"/>
          <w:numId w:val="103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retrieval log</w:t>
      </w:r>
      <w:r>
        <w:t xml:space="preserve"> </w:t>
      </w:r>
      <w:r>
        <w:t xml:space="preserve">(timestamp, query, agent name)</w:t>
      </w:r>
    </w:p>
    <w:p>
      <w:pPr>
        <w:pStyle w:val="Compact"/>
        <w:numPr>
          <w:ilvl w:val="0"/>
          <w:numId w:val="103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confidence breakdown</w:t>
      </w:r>
      <w:r>
        <w:t xml:space="preserve"> </w:t>
      </w:r>
      <w:r>
        <w:t xml:space="preserve">by sub-factor</w:t>
      </w:r>
    </w:p>
    <w:p>
      <w:pPr>
        <w:pStyle w:val="Compact"/>
        <w:numPr>
          <w:ilvl w:val="0"/>
          <w:numId w:val="103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prompt template</w:t>
      </w:r>
      <w:r>
        <w:t xml:space="preserve"> </w:t>
      </w:r>
      <w:r>
        <w:t xml:space="preserve">version used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audit trail</w:t>
      </w:r>
      <w:r>
        <w:t xml:space="preserve"> </w:t>
      </w:r>
      <w:r>
        <w:t xml:space="preserve">the EU AI Act requires — every AI output is traceable to its sources and reasoning.</w:t>
      </w:r>
    </w:p>
    <w:p>
      <w:r>
        <w:pict>
          <v:rect style="width:0;height:1.5pt" o:hralign="center" o:hrstd="t" o:hr="t"/>
        </w:pict>
      </w:r>
    </w:p>
    <w:bookmarkEnd w:id="137"/>
    <w:bookmarkStart w:id="138" w:name="logout"/>
    <w:p>
      <w:pPr>
        <w:pStyle w:val="Heading1"/>
      </w:pPr>
      <w:r>
        <w:t xml:space="preserve">14. Logout</w:t>
      </w:r>
    </w:p>
    <w:p>
      <w:pPr>
        <w:pStyle w:val="FirstParagraph"/>
      </w:pPr>
      <w:r>
        <w:t xml:space="preserve">Click the</w:t>
      </w:r>
      <w:r>
        <w:t xml:space="preserve"> </w:t>
      </w:r>
      <w:r>
        <w:rPr>
          <w:b/>
          <w:bCs/>
        </w:rPr>
        <w:t xml:space="preserve">Logout</w:t>
      </w:r>
      <w:r>
        <w:t xml:space="preserve"> </w:t>
      </w:r>
      <w:r>
        <w:t xml:space="preserve">icon in the user pod at the bottom of the sidebar. You’ll be redirected to the login screen and your session is cleared.</w:t>
      </w:r>
    </w:p>
    <w:p>
      <w:r>
        <w:pict>
          <v:rect style="width:0;height:1.5pt" o:hralign="center" o:hrstd="t" o:hr="t"/>
        </w:pict>
      </w:r>
    </w:p>
    <w:bookmarkEnd w:id="138"/>
    <w:bookmarkStart w:id="141" w:name="roadmap"/>
    <w:p>
      <w:pPr>
        <w:pStyle w:val="Heading1"/>
      </w:pPr>
      <w:r>
        <w:t xml:space="preserve">15. Roadmap</w:t>
      </w:r>
    </w:p>
    <w:p>
      <w:pPr>
        <w:pStyle w:val="FirstParagraph"/>
      </w:pPr>
      <w:r>
        <w:t xml:space="preserve">The demo build covers everything in the</w:t>
      </w:r>
      <w:r>
        <w:t xml:space="preserve"> </w:t>
      </w:r>
      <w:r>
        <w:rPr>
          <w:b/>
          <w:bCs/>
        </w:rPr>
        <w:t xml:space="preserve">MVP</w:t>
      </w:r>
      <w:r>
        <w:t xml:space="preserve"> </w:t>
      </w:r>
      <w:r>
        <w:t xml:space="preserve">scope of the Prysmian brief. The next two phases unlock:</w:t>
      </w:r>
    </w:p>
    <w:bookmarkStart w:id="139" w:name="phase-1-post-mvp"/>
    <w:p>
      <w:pPr>
        <w:pStyle w:val="Heading2"/>
      </w:pPr>
      <w:r>
        <w:t xml:space="preserve">Phase 1 (post-MVP)</w:t>
      </w:r>
    </w:p>
    <w:p>
      <w:pPr>
        <w:pStyle w:val="Compact"/>
        <w:numPr>
          <w:ilvl w:val="0"/>
          <w:numId w:val="1039"/>
        </w:numPr>
      </w:pPr>
      <w:r>
        <w:t xml:space="preserve">Azure Entra ID SSO + RBAC</w:t>
      </w:r>
    </w:p>
    <w:p>
      <w:pPr>
        <w:pStyle w:val="Compact"/>
        <w:numPr>
          <w:ilvl w:val="0"/>
          <w:numId w:val="1039"/>
        </w:numPr>
      </w:pPr>
      <w:r>
        <w:t xml:space="preserve">Live SAP transactional ingestion (replacing demo seeds)</w:t>
      </w:r>
    </w:p>
    <w:p>
      <w:pPr>
        <w:pStyle w:val="Compact"/>
        <w:numPr>
          <w:ilvl w:val="0"/>
          <w:numId w:val="1039"/>
        </w:numPr>
      </w:pPr>
      <w:r>
        <w:t xml:space="preserve">Live Salesforce market-interaction ingestion</w:t>
      </w:r>
    </w:p>
    <w:p>
      <w:pPr>
        <w:pStyle w:val="Compact"/>
        <w:numPr>
          <w:ilvl w:val="0"/>
          <w:numId w:val="1039"/>
        </w:numPr>
      </w:pPr>
      <w:r>
        <w:t xml:space="preserve">Newsletter editorial workflow (validated → published → digest)</w:t>
      </w:r>
    </w:p>
    <w:p>
      <w:pPr>
        <w:pStyle w:val="Compact"/>
        <w:numPr>
          <w:ilvl w:val="0"/>
          <w:numId w:val="1039"/>
        </w:numPr>
      </w:pPr>
      <w:r>
        <w:t xml:space="preserve">4 additional AI agents implemented (KPI Alerts, Swift Finder, Customer Monitor, Competitor Monitor)</w:t>
      </w:r>
    </w:p>
    <w:p>
      <w:pPr>
        <w:pStyle w:val="Compact"/>
        <w:numPr>
          <w:ilvl w:val="0"/>
          <w:numId w:val="1039"/>
        </w:numPr>
      </w:pPr>
      <w:r>
        <w:t xml:space="preserve">Real-time alerts via Email digest + Teams routing</w:t>
      </w:r>
    </w:p>
    <w:p>
      <w:pPr>
        <w:pStyle w:val="Compact"/>
        <w:numPr>
          <w:ilvl w:val="0"/>
          <w:numId w:val="1039"/>
        </w:numPr>
      </w:pPr>
      <w:r>
        <w:t xml:space="preserve">Versioning + diff view per Hub item</w:t>
      </w:r>
    </w:p>
    <w:bookmarkEnd w:id="139"/>
    <w:bookmarkStart w:id="140" w:name="phase-2-scale-out"/>
    <w:p>
      <w:pPr>
        <w:pStyle w:val="Heading2"/>
      </w:pPr>
      <w:r>
        <w:t xml:space="preserve">Phase 2 (scale-out)</w:t>
      </w:r>
    </w:p>
    <w:p>
      <w:pPr>
        <w:pStyle w:val="Compact"/>
        <w:numPr>
          <w:ilvl w:val="0"/>
          <w:numId w:val="1040"/>
        </w:numPr>
      </w:pPr>
      <w:r>
        <w:t xml:space="preserve">API integrations for external databases and reports</w:t>
      </w:r>
    </w:p>
    <w:p>
      <w:pPr>
        <w:pStyle w:val="Compact"/>
        <w:numPr>
          <w:ilvl w:val="0"/>
          <w:numId w:val="1040"/>
        </w:numPr>
      </w:pPr>
      <w:r>
        <w:t xml:space="preserve">75 users (consultation)</w:t>
      </w:r>
    </w:p>
    <w:p>
      <w:pPr>
        <w:pStyle w:val="Compact"/>
        <w:numPr>
          <w:ilvl w:val="0"/>
          <w:numId w:val="1040"/>
        </w:numPr>
      </w:pPr>
      <w:r>
        <w:t xml:space="preserve">Multi-country commercial seeds (France, Germany, Spain, Netherlands, UK)</w:t>
      </w:r>
    </w:p>
    <w:p>
      <w:pPr>
        <w:pStyle w:val="Compact"/>
        <w:numPr>
          <w:ilvl w:val="0"/>
          <w:numId w:val="1040"/>
        </w:numPr>
      </w:pPr>
      <w:r>
        <w:t xml:space="preserve">Manual structured</w:t>
      </w:r>
      <w:r>
        <w:t xml:space="preserve"> </w:t>
      </w:r>
      <w:r>
        <w:t xml:space="preserve">“value data”</w:t>
      </w:r>
      <w:r>
        <w:t xml:space="preserve"> </w:t>
      </w:r>
      <w:r>
        <w:t xml:space="preserve">input forms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42" w:name="support"/>
    <w:p>
      <w:pPr>
        <w:pStyle w:val="Heading1"/>
      </w:pPr>
      <w:r>
        <w:t xml:space="preserve">16. Support</w:t>
      </w:r>
    </w:p>
    <w:p>
      <w:pPr>
        <w:pStyle w:val="FirstParagraph"/>
      </w:pPr>
      <w:r>
        <w:t xml:space="preserve">For demo issues:</w:t>
      </w:r>
      <w:r>
        <w:t xml:space="preserve"> </w:t>
      </w:r>
      <w:r>
        <w:rPr>
          <w:b/>
          <w:bCs/>
        </w:rPr>
        <w:t xml:space="preserve">emiliano.narducci@ey.com</w:t>
      </w:r>
      <w:r>
        <w:t xml:space="preserve"> </w:t>
      </w:r>
      <w:r>
        <w:t xml:space="preserve">For platform questions: refer to this manual or the deploy doc (</w:t>
      </w:r>
      <w:r>
        <w:rPr>
          <w:rStyle w:val="VerbatimChar"/>
        </w:rPr>
        <w:t xml:space="preserve">docs/DEPLOY_RENDER.md</w:t>
      </w:r>
      <w:r>
        <w:t xml:space="preserve">).</w:t>
      </w:r>
    </w:p>
    <w:p>
      <w:pPr>
        <w:pStyle w:val="BodyText"/>
      </w:pPr>
      <w:r>
        <w:t xml:space="preserve">The demo is hosted on Render.com — free-plan services sleep after 15 min of inactivity (≈ 30s cold start on first wake).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EY for Prysmian Group — Market Intelligence Hub user manual · May 2026</w:t>
      </w:r>
    </w:p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jpg" /><Relationship Type="http://schemas.openxmlformats.org/officeDocument/2006/relationships/image" Id="rId15" Target="media/rId15.jpg" /><Relationship Type="http://schemas.openxmlformats.org/officeDocument/2006/relationships/image" Id="rId27" Target="media/rId27.jpg" /><Relationship Type="http://schemas.openxmlformats.org/officeDocument/2006/relationships/image" Id="rId34" Target="media/rId34.jpg" /><Relationship Type="http://schemas.openxmlformats.org/officeDocument/2006/relationships/image" Id="rId40" Target="media/rId40.jpg" /><Relationship Type="http://schemas.openxmlformats.org/officeDocument/2006/relationships/image" Id="rId49" Target="media/rId49.jpg" /><Relationship Type="http://schemas.openxmlformats.org/officeDocument/2006/relationships/image" Id="rId58" Target="media/rId58.jpg" /><Relationship Type="http://schemas.openxmlformats.org/officeDocument/2006/relationships/image" Id="rId63" Target="media/rId63.jpg" /><Relationship Type="http://schemas.openxmlformats.org/officeDocument/2006/relationships/image" Id="rId69" Target="media/rId69.jpg" /><Relationship Type="http://schemas.openxmlformats.org/officeDocument/2006/relationships/image" Id="rId79" Target="media/rId79.jpg" /><Relationship Type="http://schemas.openxmlformats.org/officeDocument/2006/relationships/image" Id="rId91" Target="media/rId91.jpg" /><Relationship Type="http://schemas.openxmlformats.org/officeDocument/2006/relationships/image" Id="rId95" Target="media/rId95.jpg" /><Relationship Type="http://schemas.openxmlformats.org/officeDocument/2006/relationships/image" Id="rId100" Target="media/rId100.jpg" /><Relationship Type="http://schemas.openxmlformats.org/officeDocument/2006/relationships/image" Id="rId107" Target="media/rId107.jpg" /><Relationship Type="http://schemas.openxmlformats.org/officeDocument/2006/relationships/image" Id="rId115" Target="media/rId115.jpg" /><Relationship Type="http://schemas.openxmlformats.org/officeDocument/2006/relationships/image" Id="rId123" Target="media/rId123.jpg" /><Relationship Type="http://schemas.openxmlformats.org/officeDocument/2006/relationships/image" Id="rId132" Target="media/rId132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Market Intelligence Hub — User Manual</dc:title>
  <dc:creator>EY for Prysmian Group</dc:creator>
  <cp:keywords/>
  <dcterms:created xsi:type="dcterms:W3CDTF">2026-05-13T21:08:22Z</dcterms:created>
  <dcterms:modified xsi:type="dcterms:W3CDTF">2026-05-13T21:08:22Z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May 2026</vt:lpwstr>
  </property>
  <property fmtid="{D5CDD505-2E9C-101B-9397-08002B2CF9AE}" pid="3" name="subtitle">
    <vt:lpwstr>Prysmian × EY · AI-powered always-on intelligence platform</vt:lpwstr>
  </property>
  <property fmtid="{D5CDD505-2E9C-101B-9397-08002B2CF9AE}" pid="4" name="toc">
    <vt:lpwstr>True</vt:lpwstr>
  </property>
  <property fmtid="{D5CDD505-2E9C-101B-9397-08002B2CF9AE}" pid="5" name="toc-depth">
    <vt:lpwstr>2</vt:lpwstr>
  </property>
</Properties>
</file>