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Intelligence Hub — Catalogo KPI</w:t>
      </w:r>
    </w:p>
    <w:p>
      <w:pPr>
        <w:pStyle w:val="Subtitle"/>
      </w:pPr>
      <w:r>
        <w:t xml:space="preserve">Cosa misurano, da dove arrivano i dati, quali agenti li alimentano</w:t>
      </w:r>
    </w:p>
    <w:p>
      <w:pPr>
        <w:pStyle w:val="Author"/>
      </w:pPr>
      <w:r>
        <w:t xml:space="preserve">EY for Prysmian Group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ome-leggere-questo-documento"/>
    <w:p>
      <w:pPr>
        <w:pStyle w:val="Heading1"/>
      </w:pPr>
      <w:r>
        <w:t xml:space="preserve">1. Come leggere questo documento</w:t>
      </w:r>
    </w:p>
    <w:p>
      <w:pPr>
        <w:pStyle w:val="FirstParagraph"/>
      </w:pPr>
      <w:r>
        <w:t xml:space="preserve">Questo documento è il</w:t>
      </w:r>
      <w:r>
        <w:t xml:space="preserve"> </w:t>
      </w:r>
      <w:r>
        <w:rPr>
          <w:b/>
          <w:bCs/>
        </w:rPr>
        <w:t xml:space="preserve">dizionario operativo dei KPI</w:t>
      </w:r>
      <w:r>
        <w:t xml:space="preserve"> </w:t>
      </w:r>
      <w:r>
        <w:t xml:space="preserve">mostrati nell’applicazione. È pensato per chi</w:t>
      </w:r>
      <w:r>
        <w:t xml:space="preserve"> </w:t>
      </w:r>
      <w:r>
        <w:rPr>
          <w:i/>
          <w:iCs/>
        </w:rPr>
        <w:t xml:space="preserve">non</w:t>
      </w:r>
      <w:r>
        <w:t xml:space="preserve"> </w:t>
      </w:r>
      <w:r>
        <w:t xml:space="preserve">è specialista del dominio cavi/marketing intelligence e vuole capire, per ogni numero a video: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Cosa misura</w:t>
      </w:r>
      <w:r>
        <w:t xml:space="preserve"> </w:t>
      </w:r>
      <w:r>
        <w:t xml:space="preserve">in termini semplici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Perché è rilevante</w:t>
      </w:r>
      <w:r>
        <w:t xml:space="preserve"> </w:t>
      </w:r>
      <w:r>
        <w:t xml:space="preserve">per un produttore di cavi come Prysmian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 si calcola</w:t>
      </w:r>
      <w:r>
        <w:t xml:space="preserve"> </w:t>
      </w:r>
      <w:r>
        <w:t xml:space="preserve">(formula o regola)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 dove arrivano i dati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Sorgenti interne</w:t>
      </w:r>
      <w:r>
        <w:t xml:space="preserve"> </w:t>
      </w:r>
      <w:r>
        <w:t xml:space="preserve">Prysmian (SAP, Salesforce, master data, input manuali)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Sorgenti esterne</w:t>
      </w:r>
      <w:r>
        <w:t xml:space="preserve"> </w:t>
      </w:r>
      <w:r>
        <w:t xml:space="preserve">raccolte da uno dei</w:t>
      </w:r>
      <w:r>
        <w:t xml:space="preserve"> </w:t>
      </w:r>
      <w:r>
        <w:rPr>
          <w:b/>
          <w:bCs/>
        </w:rPr>
        <w:t xml:space="preserve">6 agenti 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Sorgenti potenziali concrete</w:t>
      </w:r>
      <w:r>
        <w:t xml:space="preserve"> </w:t>
      </w:r>
      <w:r>
        <w:t xml:space="preserve">(testate, pubblicazioni, dataset, API)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Frequenza di aggiornamento</w:t>
      </w:r>
      <w:r>
        <w:t xml:space="preserve"> </w:t>
      </w:r>
      <w:r>
        <w:t xml:space="preserve">raccomandata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Dove appare nell’app</w:t>
      </w:r>
    </w:p>
    <w:p>
      <w:r>
        <w:pict>
          <v:rect style="width:0;height:1.5pt" o:hralign="center" o:hrstd="t" o:hr="t"/>
        </w:pict>
      </w:r>
    </w:p>
    <w:bookmarkEnd w:id="9"/>
    <w:bookmarkStart w:id="10" w:name="glossario-di-base-per-il-non-specialista"/>
    <w:p>
      <w:pPr>
        <w:pStyle w:val="Heading1"/>
      </w:pPr>
      <w:r>
        <w:t xml:space="preserve">2. Glossario di base (per il non specialista)</w:t>
      </w:r>
    </w:p>
    <w:p>
      <w:pPr>
        <w:pStyle w:val="FirstParagraph"/>
      </w:pPr>
      <w:r>
        <w:t xml:space="preserve">Prima di entrare nei KPI, alcuni termini ricorrenti: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Significato semplice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 (Business Unit)</w:t>
            </w:r>
          </w:p>
        </w:tc>
        <w:tc>
          <w:tcPr/>
          <w:p>
            <w:pPr>
              <w:pStyle w:val="Compact"/>
            </w:pPr>
            <w:r>
              <w:t xml:space="preserve">Divisione di Prysmian. Le principali nell’app: I&amp;C (Industrial &amp; Construction), Power Grid (rete elettrica), Digital Solutions (fibra/dati), Railway, Wind onshore, Solar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 / HV / LV</w:t>
            </w:r>
          </w:p>
        </w:tc>
        <w:tc>
          <w:tcPr/>
          <w:p>
            <w:pPr>
              <w:pStyle w:val="Compact"/>
            </w:pPr>
            <w:r>
              <w:t xml:space="preserve">Tipi di cavo per tensione: Low Voltage (basso voltaggio, edilizia residenziale), Medium Voltage (distribuzione locale), High Voltage (trasmissione lunghe distanze). Servono in mercati diversi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Cavi a fibra ottica (telecomunicazioni, datacenter)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HVDC</w:t>
            </w:r>
          </w:p>
        </w:tc>
        <w:tc>
          <w:tcPr/>
          <w:p>
            <w:pPr>
              <w:pStyle w:val="Compact"/>
            </w:pPr>
            <w:r>
              <w:t xml:space="preserve">High Voltage Direct Current — cavi per trasmissione AD alta tensione in corrente continua. Mercato premium (interconnessioni paese-paese, eolico offshore)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CPR (Cca-rated)</w:t>
            </w:r>
          </w:p>
        </w:tc>
        <w:tc>
          <w:tcPr/>
          <w:p>
            <w:pPr>
              <w:pStyle w:val="Compact"/>
            </w:pPr>
            <w:r>
              <w:t xml:space="preserve">Certificazione UE obbligatoria per cavi installati in edifici (resistenza al fuoco)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LSZH</w:t>
            </w:r>
          </w:p>
        </w:tc>
        <w:tc>
          <w:tcPr/>
          <w:p>
            <w:pPr>
              <w:pStyle w:val="Compact"/>
            </w:pPr>
            <w:r>
              <w:t xml:space="preserve">Low Smoke Zero Halogen — cavi a basso fumo, obbligatori in edifici pubblici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/ Account</w:t>
            </w:r>
          </w:p>
        </w:tc>
        <w:tc>
          <w:tcPr/>
          <w:p>
            <w:pPr>
              <w:pStyle w:val="Compact"/>
            </w:pPr>
            <w:r>
              <w:t xml:space="preserve">Cliente B2B di Prysmian (un’utility, un EPC, un costruttore, un hyperscaler)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(di progetto)</w:t>
            </w:r>
          </w:p>
        </w:tc>
        <w:tc>
          <w:tcPr/>
          <w:p>
            <w:pPr>
              <w:pStyle w:val="Compact"/>
            </w:pPr>
            <w:r>
              <w:t xml:space="preserve">Soggetto che commissiona o possiede un progetto (es. mining: Anglo American; data center: Microsoft)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Spesa in conto capitale — quanti soldi investe il cliente nel progetto totale. Indica la dimensione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MW (megawatt)</w:t>
            </w:r>
          </w:p>
        </w:tc>
        <w:tc>
          <w:tcPr/>
          <w:p>
            <w:pPr>
              <w:pStyle w:val="Compact"/>
            </w:pPr>
            <w:r>
              <w:t xml:space="preserve">Capacità di un impianto energetico. 1 MW ≈ ~1.000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GW (gigawatt)</w:t>
            </w:r>
          </w:p>
        </w:tc>
        <w:tc>
          <w:tcPr/>
          <w:p>
            <w:pPr>
              <w:pStyle w:val="Compact"/>
            </w:pPr>
            <w:r>
              <w:t xml:space="preserve">1.000 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 / YoY</w:t>
            </w:r>
          </w:p>
        </w:tc>
        <w:tc>
          <w:tcPr/>
          <w:p>
            <w:pPr>
              <w:pStyle w:val="Compact"/>
            </w:pPr>
            <w:r>
              <w:t xml:space="preserve">Month-over-Month / Year-over-Year — variazioni vs mese o anno precedente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YTD</w:t>
            </w:r>
          </w:p>
        </w:tc>
        <w:tc>
          <w:tcPr/>
          <w:p>
            <w:pPr>
              <w:pStyle w:val="Compact"/>
            </w:pPr>
            <w:r>
              <w:t xml:space="preserve">Year-To-Date — totale da gennaio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Quanto un valore si discosta dalla sua media storica (deviazioni 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SoW (Share of Wallet)</w:t>
            </w:r>
          </w:p>
        </w:tc>
        <w:tc>
          <w:tcPr/>
          <w:p>
            <w:pPr>
              <w:pStyle w:val="Compact"/>
            </w:pPr>
            <w:r>
              <w:t xml:space="preserve">Quota del budget totale di un cliente che spende con Noi.</w:t>
            </w:r>
            <w:r>
              <w:t xml:space="preserve"> </w:t>
            </w:r>
            <w:r>
              <w:rPr>
                <w:i/>
                <w:iCs/>
              </w:rPr>
              <w:t xml:space="preserve">SoW = Mie vendite / Spesa totale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Mercato non ancora preso = Spesa totale del cliente − Mie vendite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Insieme dei progetti tracciati (sia opportunità future che progetti attivi)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Hyperscaler</w:t>
            </w:r>
          </w:p>
        </w:tc>
        <w:tc>
          <w:tcPr/>
          <w:p>
            <w:pPr>
              <w:pStyle w:val="Compact"/>
            </w:pPr>
            <w:r>
              <w:t xml:space="preserve">I grandi operatori cloud (Microsoft, Google, Amazon/AWS, Meta, Equinix, Digital Realty, Oracle). Sono clienti chiave per i datacenter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PMI</w:t>
            </w:r>
          </w:p>
        </w:tc>
        <w:tc>
          <w:tcPr/>
          <w:p>
            <w:pPr>
              <w:pStyle w:val="Compact"/>
            </w:pPr>
            <w:r>
              <w:t xml:space="preserve">Purchasing Managers’ Index — indicatore mensile sentiment industriale. &gt; 50 = espansione, &lt; 50 = contrazione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EPC</w:t>
            </w:r>
          </w:p>
        </w:tc>
        <w:tc>
          <w:tcPr/>
          <w:p>
            <w:pPr>
              <w:pStyle w:val="Compact"/>
            </w:pPr>
            <w:r>
              <w:t xml:space="preserve">Engineering, Procurement &amp; Construction — aziende che progettano e costruiscono impianti chiavi-in-mano (clienti tipici nei rinnovabili)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TSO / DSO</w:t>
            </w:r>
          </w:p>
        </w:tc>
        <w:tc>
          <w:tcPr/>
          <w:p>
            <w:pPr>
              <w:pStyle w:val="Compact"/>
            </w:pPr>
            <w:r>
              <w:t xml:space="preserve">Transmission / Distribution System Operator — gestori della rete elettrica. Es. Terna (IT), TenneT (NL+DE), EDF (FR), Iberdrola (ES)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Regolamento UE che obbliga sistemi AI ad alto rischio (incluso enterprise decision support) a fornire trail di evidenza e human oversight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appa-delle-sorgenti-dati"/>
    <w:p>
      <w:pPr>
        <w:pStyle w:val="Heading1"/>
      </w:pPr>
      <w:r>
        <w:t xml:space="preserve">3. Mappa delle sorgenti dati</w:t>
      </w:r>
    </w:p>
    <w:p>
      <w:pPr>
        <w:pStyle w:val="FirstParagraph"/>
      </w:pPr>
      <w:r>
        <w:t xml:space="preserve">Ogni KPI ricade in una di queste 4 categorie di sorgente: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Sorgente</w:t>
            </w:r>
          </w:p>
        </w:tc>
        <w:tc>
          <w:tcPr/>
          <w:p>
            <w:pPr>
              <w:pStyle w:val="Compact"/>
            </w:pPr>
            <w:r>
              <w:t xml:space="preserve">Cos’è</w:t>
            </w:r>
          </w:p>
        </w:tc>
        <w:tc>
          <w:tcPr/>
          <w:p>
            <w:pPr>
              <w:pStyle w:val="Compact"/>
            </w:pPr>
            <w:r>
              <w:t xml:space="preserve">Esempi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INT-SAP</w:t>
            </w:r>
          </w:p>
        </w:tc>
        <w:tc>
          <w:tcPr/>
          <w:p>
            <w:pPr>
              <w:pStyle w:val="Compact"/>
            </w:pPr>
            <w:r>
              <w:t xml:space="preserve">Dati transazionali interni Prysmian dal sistema ERP SAP</w:t>
            </w:r>
          </w:p>
        </w:tc>
        <w:tc>
          <w:tcPr/>
          <w:p>
            <w:pPr>
              <w:pStyle w:val="Compact"/>
            </w:pPr>
            <w:r>
              <w:t xml:space="preserve">Ordini, fatture, prezzi listino, master materiali, scorte, piante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INT-SFDC</w:t>
            </w:r>
          </w:p>
        </w:tc>
        <w:tc>
          <w:tcPr/>
          <w:p>
            <w:pPr>
              <w:pStyle w:val="Compact"/>
            </w:pPr>
            <w:r>
              <w:t xml:space="preserve">Dati di relazione cliente dal CRM Salesforce</w:t>
            </w:r>
          </w:p>
        </w:tc>
        <w:tc>
          <w:tcPr/>
          <w:p>
            <w:pPr>
              <w:pStyle w:val="Compact"/>
            </w:pPr>
            <w:r>
              <w:t xml:space="preserve">Account, opportunità, contatti, attività, pipeline commerciale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INT-MAN</w:t>
            </w:r>
          </w:p>
        </w:tc>
        <w:tc>
          <w:tcPr/>
          <w:p>
            <w:pPr>
              <w:pStyle w:val="Compact"/>
            </w:pPr>
            <w:r>
              <w:t xml:space="preserve">Input manuali strutturati di MI / BU</w:t>
            </w:r>
          </w:p>
        </w:tc>
        <w:tc>
          <w:tcPr/>
          <w:p>
            <w:pPr>
              <w:pStyle w:val="Compact"/>
            </w:pPr>
            <w:r>
              <w:t xml:space="preserve">Liste customer/competitor strategici, soglie alert, mappatura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EXT-AGENT-X</w:t>
            </w:r>
          </w:p>
        </w:tc>
        <w:tc>
          <w:tcPr/>
          <w:p>
            <w:pPr>
              <w:pStyle w:val="Compact"/>
            </w:pPr>
            <w:r>
              <w:t xml:space="preserve">Dato raccolto dall’agente X (1 dei 6) da sorgenti pubbliche/abbonate</w:t>
            </w:r>
          </w:p>
        </w:tc>
        <w:tc>
          <w:tcPr/>
          <w:p>
            <w:pPr>
              <w:pStyle w:val="Compact"/>
            </w:pPr>
            <w:r>
              <w:t xml:space="preserve">News, progetti, KPI macro, segnali competitivi</w:t>
            </w:r>
          </w:p>
        </w:tc>
      </w:tr>
    </w:tbl>
    <w:p>
      <w:pPr>
        <w:pStyle w:val="BodyText"/>
      </w:pPr>
      <w:r>
        <w:t xml:space="preserve">I</w:t>
      </w:r>
      <w:r>
        <w:t xml:space="preserve"> </w:t>
      </w:r>
      <w:r>
        <w:rPr>
          <w:b/>
          <w:bCs/>
        </w:rPr>
        <w:t xml:space="preserve">6 agenti AI</w:t>
      </w:r>
      <w:r>
        <w:t xml:space="preserve">, da brief Prysmian: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Project Scouting</w:t>
            </w:r>
          </w:p>
        </w:tc>
        <w:tc>
          <w:tcPr/>
          <w:p>
            <w:pPr>
              <w:pStyle w:val="Compact"/>
            </w:pPr>
            <w:r>
              <w:t xml:space="preserve">Monitora progetti mining / grid / data center / BESS / rinnovabili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News Finder</w:t>
            </w:r>
          </w:p>
        </w:tc>
        <w:tc>
          <w:tcPr/>
          <w:p>
            <w:pPr>
              <w:pStyle w:val="Compact"/>
            </w:pPr>
            <w:r>
              <w:t xml:space="preserve">Cerca news rilevanti per la newsletter 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Micro/Macro KPI Alerts</w:t>
            </w:r>
          </w:p>
        </w:tc>
        <w:tc>
          <w:tcPr/>
          <w:p>
            <w:pPr>
              <w:pStyle w:val="Compact"/>
            </w:pPr>
            <w:r>
              <w:t xml:space="preserve">Monitora soglie su KPI macro (per BU) e alerta sulle deviazioni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Market Trends &amp; Tech Swift Finder</w:t>
            </w:r>
          </w:p>
        </w:tc>
        <w:tc>
          <w:tcPr/>
          <w:p>
            <w:pPr>
              <w:pStyle w:val="Compact"/>
            </w:pPr>
            <w:r>
              <w:t xml:space="preserve">Rileva trend tecnologici emergenti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Customer Monitoring</w:t>
            </w:r>
          </w:p>
        </w:tc>
        <w:tc>
          <w:tcPr/>
          <w:p>
            <w:pPr>
              <w:pStyle w:val="Compact"/>
            </w:pPr>
            <w:r>
              <w:t xml:space="preserve">Traccia segnali su clienti chiave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Competitor Monitoring</w:t>
            </w:r>
          </w:p>
        </w:tc>
        <w:tc>
          <w:tcPr/>
          <w:p>
            <w:pPr>
              <w:pStyle w:val="Compact"/>
            </w:pPr>
            <w:r>
              <w:t xml:space="preserve">Traccia mosse competitive</w:t>
            </w:r>
          </w:p>
        </w:tc>
      </w:tr>
    </w:tbl>
    <w:p>
      <w:pPr>
        <w:pStyle w:val="BodyText"/>
      </w:pPr>
      <w:r>
        <w:t xml:space="preserve">Nei KPI sotto,</w:t>
      </w:r>
      <w:r>
        <w:t xml:space="preserve"> </w:t>
      </w:r>
      <w:r>
        <w:t xml:space="preserve">“Fonte”</w:t>
      </w:r>
      <w:r>
        <w:t xml:space="preserve"> </w:t>
      </w:r>
      <w:r>
        <w:t xml:space="preserve">è codificata con queste sigle. Se un KPI ha più sorgenti, sono elencate in ordine di priorità.</w:t>
      </w:r>
    </w:p>
    <w:p>
      <w:r>
        <w:pict>
          <v:rect style="width:0;height:1.5pt" o:hralign="center" o:hrstd="t" o:hr="t"/>
        </w:pict>
      </w:r>
    </w:p>
    <w:bookmarkEnd w:id="11"/>
    <w:bookmarkStart w:id="12" w:name="le-6-categorie-di-kpi"/>
    <w:p>
      <w:pPr>
        <w:pStyle w:val="Heading1"/>
      </w:pPr>
      <w:r>
        <w:t xml:space="preserve">4. Le 6 categorie di KPI</w:t>
      </w:r>
    </w:p>
    <w:p>
      <w:pPr>
        <w:pStyle w:val="FirstParagraph"/>
      </w:pPr>
      <w:r>
        <w:t xml:space="preserve">Per chiarezza il documento divide i KPI in 6 famiglie funzionali: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Dove appare</w:t>
            </w:r>
          </w:p>
        </w:tc>
        <w:tc>
          <w:tcPr/>
          <w:p>
            <w:pPr>
              <w:pStyle w:val="Compact"/>
            </w:pPr>
            <w:r>
              <w:t xml:space="preserve">Chi alimenta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KPI commerciali interni</w:t>
            </w:r>
          </w:p>
        </w:tc>
        <w:tc>
          <w:tcPr/>
          <w:p>
            <w:pPr>
              <w:pStyle w:val="Compact"/>
            </w:pPr>
            <w:r>
              <w:t xml:space="preserve">Country ID, drill-down SF</w:t>
            </w:r>
          </w:p>
        </w:tc>
        <w:tc>
          <w:tcPr/>
          <w:p>
            <w:pPr>
              <w:pStyle w:val="Compact"/>
            </w:pPr>
            <w:r>
              <w:t xml:space="preserve">INT-SFDC + INT-SAP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KPI prodotto / industriali</w:t>
            </w:r>
          </w:p>
        </w:tc>
        <w:tc>
          <w:tcPr/>
          <w:p>
            <w:pPr>
              <w:pStyle w:val="Compact"/>
            </w:pPr>
            <w:r>
              <w:t xml:space="preserve">Drill-down SAP, Country ID (Sales by Product)</w:t>
            </w:r>
          </w:p>
        </w:tc>
        <w:tc>
          <w:tcPr/>
          <w:p>
            <w:pPr>
              <w:pStyle w:val="Compact"/>
            </w:pPr>
            <w:r>
              <w:t xml:space="preserve">INT-SAP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KPI pipeline progetti</w:t>
            </w:r>
          </w:p>
        </w:tc>
        <w:tc>
          <w:tcPr/>
          <w:p>
            <w:pPr>
              <w:pStyle w:val="Compact"/>
            </w:pPr>
            <w:r>
              <w:t xml:space="preserve">Projects list, Compare, Project detail</w:t>
            </w:r>
          </w:p>
        </w:tc>
        <w:tc>
          <w:tcPr/>
          <w:p>
            <w:pPr>
              <w:pStyle w:val="Compact"/>
            </w:pPr>
            <w:r>
              <w:t xml:space="preserve">EXT-A1 + INT-MAN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KPI macro/economici</w:t>
            </w:r>
          </w:p>
        </w:tc>
        <w:tc>
          <w:tcPr/>
          <w:p>
            <w:pPr>
              <w:pStyle w:val="Compact"/>
            </w:pPr>
            <w:r>
              <w:t xml:space="preserve">Market Trends, dashboard Country</w:t>
            </w:r>
          </w:p>
        </w:tc>
        <w:tc>
          <w:tcPr/>
          <w:p>
            <w:pPr>
              <w:pStyle w:val="Compact"/>
            </w:pPr>
            <w:r>
              <w:t xml:space="preserve">EXT-A3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KPI competitivi &amp; news</w:t>
            </w:r>
          </w:p>
        </w:tc>
        <w:tc>
          <w:tcPr/>
          <w:p>
            <w:pPr>
              <w:pStyle w:val="Compact"/>
            </w:pPr>
            <w:r>
              <w:t xml:space="preserve">Trends (</w:t>
            </w:r>
            <w:r>
              <w:t xml:space="preserve">“Competitive moves”</w:t>
            </w:r>
            <w:r>
              <w:t xml:space="preserve">), Alerts, News</w:t>
            </w:r>
          </w:p>
        </w:tc>
        <w:tc>
          <w:tcPr/>
          <w:p>
            <w:pPr>
              <w:pStyle w:val="Compact"/>
            </w:pPr>
            <w:r>
              <w:t xml:space="preserve">EXT-A6 + EXT-A2 + EXT-A5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KPI di sistema / AI</w:t>
            </w:r>
          </w:p>
        </w:tc>
        <w:tc>
          <w:tcPr/>
          <w:p>
            <w:pPr>
              <w:pStyle w:val="Compact"/>
            </w:pPr>
            <w:r>
              <w:t xml:space="preserve">Dashboard, Review Queue, Agents</w:t>
            </w:r>
          </w:p>
        </w:tc>
        <w:tc>
          <w:tcPr/>
          <w:p>
            <w:pPr>
              <w:pStyle w:val="Compact"/>
            </w:pPr>
            <w:r>
              <w:t xml:space="preserve">derivati interni</w:t>
            </w:r>
          </w:p>
        </w:tc>
      </w:tr>
    </w:tbl>
    <w:p>
      <w:pPr>
        <w:pStyle w:val="BodyText"/>
      </w:pPr>
      <w:r>
        <w:t xml:space="preserve">I prossimi capitoli (5–10) sono il dizionario per categoria.</w:t>
      </w:r>
    </w:p>
    <w:p>
      <w:r>
        <w:pict>
          <v:rect style="width:0;height:1.5pt" o:hralign="center" o:hrstd="t" o:hr="t"/>
        </w:pict>
      </w:r>
    </w:p>
    <w:bookmarkEnd w:id="12"/>
    <w:bookmarkStart w:id="25" w:name="categoria-a-kpi-commerciali-interni"/>
    <w:p>
      <w:pPr>
        <w:pStyle w:val="Heading1"/>
      </w:pPr>
      <w:r>
        <w:t xml:space="preserve">5. Categoria A — KPI commerciali interni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misurano la posizione attuale di Prysmian come venditore in un dato paese e segmento. Rispondono alla domanda</w:t>
      </w:r>
      <w:r>
        <w:t xml:space="preserve"> </w:t>
      </w:r>
      <w:r>
        <w:rPr>
          <w:i/>
          <w:iCs/>
        </w:rPr>
        <w:t xml:space="preserve">“chi compra da noi, quanto, di cosa?”</w:t>
      </w:r>
      <w:r>
        <w:t xml:space="preserve">. Sono i KPI che oggi vivono nei file Excel della MI e che il Hub deve consolidare.</w:t>
      </w:r>
    </w:p>
    <w:bookmarkStart w:id="13" w:name="sales-by-customer-vendite-per-cliente"/>
    <w:p>
      <w:pPr>
        <w:pStyle w:val="Heading2"/>
      </w:pPr>
      <w:r>
        <w:t xml:space="preserve">5.1 Sales by Customer (Vendite per cliente)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Il fatturato di Prysmian con ciascun cliente in un dato paese e periodo. La tabella ranking i clienti da chi compra di più a chi compra di meno.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È la base di ogni strategia commerciale: chi sono i miei top 5 clienti? Qual è la dipendenza da un singolo cliente? Dove si concentra il fatturato?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sales_by_customer[c] = Σ fatture(c) nel periodo selezionato, in EUR</w:t>
      </w:r>
      <w:r>
        <w:br/>
      </w:r>
      <w:r>
        <w:rPr>
          <w:rStyle w:val="VerbatimChar"/>
        </w:rPr>
        <w:t xml:space="preserve">ranking = ordinamento desc per valore</w:t>
      </w:r>
      <w:r>
        <w:br/>
      </w:r>
      <w:r>
        <w:rPr>
          <w:rStyle w:val="VerbatimChar"/>
        </w:rPr>
        <w:t xml:space="preserve">share_% = sales_by_customer[c] / Σ tutte le vendite</w:t>
      </w:r>
    </w:p>
    <w:p>
      <w:pPr>
        <w:pStyle w:val="FirstParagraph"/>
      </w:pPr>
      <w:r>
        <w:rPr>
          <w:b/>
          <w:bCs/>
        </w:rPr>
        <w:t xml:space="preserve">Fonte dati.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(transazioni di vendita). In assenza di SAP integration, fallback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(file Excel BU).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Mensile (idealmente settimanale).</w:t>
      </w:r>
    </w:p>
    <w:p>
      <w:pPr>
        <w:pStyle w:val="BodyText"/>
      </w:pPr>
      <w:r>
        <w:rPr>
          <w:b/>
          <w:bCs/>
        </w:rPr>
        <w:t xml:space="preserve">Dove appare nell’app.</w:t>
      </w:r>
      <w:r>
        <w:t xml:space="preserve"> </w:t>
      </w:r>
      <w:r>
        <w:t xml:space="preserve">Country ID → Quadrant 1</w:t>
      </w:r>
      <w:r>
        <w:t xml:space="preserve"> </w:t>
      </w:r>
      <w:r>
        <w:t xml:space="preserve">“Sales by Customer”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 Phase 1.</w:t>
      </w:r>
      <w:r>
        <w:t xml:space="preserve"> </w:t>
      </w:r>
      <w:r>
        <w:t xml:space="preserve">L’integrazione SAP via</w:t>
      </w:r>
      <w:r>
        <w:t xml:space="preserve"> </w:t>
      </w:r>
      <w:r>
        <w:rPr>
          <w:rStyle w:val="VerbatimChar"/>
        </w:rPr>
        <w:t xml:space="preserve">BAPI_SALES_GET</w:t>
      </w:r>
      <w:r>
        <w:t xml:space="preserve"> </w:t>
      </w:r>
      <w:r>
        <w:t xml:space="preserve">o estrazione da BW (Business Warehouse) è il path standard. Necessario consolidare la valuta (EUR equivalente).</w:t>
      </w:r>
    </w:p>
    <w:p>
      <w:r>
        <w:pict>
          <v:rect style="width:0;height:1.5pt" o:hralign="center" o:hrstd="t" o:hr="t"/>
        </w:pict>
      </w:r>
    </w:p>
    <w:bookmarkEnd w:id="13"/>
    <w:bookmarkStart w:id="14" w:name="sales-by-product-vendite-per-prodotto"/>
    <w:p>
      <w:pPr>
        <w:pStyle w:val="Heading2"/>
      </w:pPr>
      <w:r>
        <w:t xml:space="preserve">5.2 Sales by Product (Vendite per prodotto)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Il fatturato per linea di prodotto (es. MV cables, HV submarine, fibra ottica) in un dato paese.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Indica il mix prodotto. Spostamenti del mix segnalano trend (es. crescita HV → si sta vincendo nel grid; crescita LSZH → mercato edilizia in espansione).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sales_by_product[p] = Σ fatture(p) nel periodo</w:t>
      </w:r>
      <w:r>
        <w:br/>
      </w:r>
      <w:r>
        <w:rPr>
          <w:rStyle w:val="VerbatimChar"/>
        </w:rPr>
        <w:t xml:space="preserve">share_% = sales_by_product[p] / Σ tutte le vendite</w:t>
      </w:r>
    </w:p>
    <w:p>
      <w:pPr>
        <w:pStyle w:val="FirstParagraph"/>
      </w:pPr>
      <w:r>
        <w:rPr>
          <w:b/>
          <w:bCs/>
        </w:rPr>
        <w:t xml:space="preserve">Fonte dati.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(codici materiale aggregati a livello prodotto/famiglia tramite material group).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Mensile.</w:t>
      </w:r>
    </w:p>
    <w:p>
      <w:pPr>
        <w:pStyle w:val="BodyText"/>
      </w:pPr>
      <w:r>
        <w:rPr>
          <w:b/>
          <w:bCs/>
        </w:rPr>
        <w:t xml:space="preserve">Dove appare nell’app.</w:t>
      </w:r>
      <w:r>
        <w:t xml:space="preserve"> </w:t>
      </w:r>
      <w:r>
        <w:t xml:space="preserve">Country ID → Quadrant 2</w:t>
      </w:r>
      <w:r>
        <w:t xml:space="preserve"> </w:t>
      </w:r>
      <w:r>
        <w:t xml:space="preserve">“Sales by Product”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I</w:t>
      </w:r>
      <w:r>
        <w:t xml:space="preserve"> </w:t>
      </w:r>
      <w:r>
        <w:t xml:space="preserve">“Product 1, 2, 3”</w:t>
      </w:r>
      <w:r>
        <w:t xml:space="preserve"> </w:t>
      </w:r>
      <w:r>
        <w:t xml:space="preserve">mostrati nel demo corrispondono a famiglie SAP</w:t>
      </w:r>
      <w:r>
        <w:t xml:space="preserve"> </w:t>
      </w:r>
      <w:r>
        <w:rPr>
          <w:rStyle w:val="VerbatimChar"/>
        </w:rPr>
        <w:t xml:space="preserve">material_group</w:t>
      </w:r>
      <w:r>
        <w:t xml:space="preserve"> </w:t>
      </w:r>
      <w:r>
        <w:t xml:space="preserve">(es. CBL-MV-EU, CBL-HV-EU). Phase 1 richiede mapping family→display name curato dalla MI.</w:t>
      </w:r>
    </w:p>
    <w:p>
      <w:r>
        <w:pict>
          <v:rect style="width:0;height:1.5pt" o:hralign="center" o:hrstd="t" o:hr="t"/>
        </w:pict>
      </w:r>
    </w:p>
    <w:bookmarkEnd w:id="14"/>
    <w:bookmarkStart w:id="15" w:name="Xfea57ecb008707c24ce28e1db191c8fd1ceab85"/>
    <w:p>
      <w:pPr>
        <w:pStyle w:val="Heading2"/>
      </w:pPr>
      <w:r>
        <w:t xml:space="preserve">5.3 Market Value by Customer (Valore di mercato per cliente)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rPr>
          <w:b/>
          <w:bCs/>
        </w:rPr>
        <w:t xml:space="preserve">Quanto spende totalmente</w:t>
      </w:r>
      <w:r>
        <w:t xml:space="preserve"> </w:t>
      </w:r>
      <w:r>
        <w:t xml:space="preserve">un dato cliente per cavi/soluzioni Prysmian-comparable in un anno, da TUTTI i fornitori (incluso Prysmian e i competitor).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È il dato più strategico ma anche il più difficile. Dice quanto budget</w:t>
      </w:r>
      <w:r>
        <w:t xml:space="preserve"> </w:t>
      </w:r>
      <w:r>
        <w:rPr>
          <w:i/>
          <w:iCs/>
        </w:rPr>
        <w:t xml:space="preserve">potresti</w:t>
      </w:r>
      <w:r>
        <w:t xml:space="preserve"> </w:t>
      </w:r>
      <w:r>
        <w:t xml:space="preserve">prendere se non avessi competitor.</w:t>
      </w:r>
      <w:r>
        <w:t xml:space="preserve"> </w:t>
      </w:r>
      <w:r>
        <w:rPr>
          <w:b/>
          <w:bCs/>
        </w:rPr>
        <w:t xml:space="preserve">Senza questo dato non puoi calcolare la Share of Wallet.</w:t>
      </w:r>
    </w:p>
    <w:p>
      <w:pPr>
        <w:pStyle w:val="BodyText"/>
      </w:pPr>
      <w:r>
        <w:rPr>
          <w:b/>
          <w:bCs/>
        </w:rPr>
        <w:t xml:space="preserve">Calcolo.</w:t>
      </w:r>
      <w:r>
        <w:t xml:space="preserve"> </w:t>
      </w:r>
      <w:r>
        <w:t xml:space="preserve">Non è un dato che SAP/Salesforce hanno nativamente. Si stima per triangolazione:</w:t>
      </w:r>
    </w:p>
    <w:p>
      <w:pPr>
        <w:pStyle w:val="SourceCode"/>
      </w:pPr>
      <w:r>
        <w:rPr>
          <w:rStyle w:val="VerbatimChar"/>
        </w:rPr>
        <w:t xml:space="preserve">market_value(c) = ricavi pubblici del cliente *</w:t>
      </w:r>
      <w:r>
        <w:br/>
      </w:r>
      <w:r>
        <w:rPr>
          <w:rStyle w:val="VerbatimChar"/>
        </w:rPr>
        <w:t xml:space="preserve">                  intensità procurement-cavi del settore *</w:t>
      </w:r>
      <w:r>
        <w:br/>
      </w:r>
      <w:r>
        <w:rPr>
          <w:rStyle w:val="VerbatimChar"/>
        </w:rPr>
        <w:t xml:space="preserve">                  share geografica del cliente nel paese</w:t>
      </w:r>
    </w:p>
    <w:p>
      <w:pPr>
        <w:pStyle w:val="FirstParagraph"/>
      </w:pPr>
      <w:r>
        <w:rPr>
          <w:b/>
          <w:bCs/>
        </w:rPr>
        <w:t xml:space="preserve">Fonte dati.</w:t>
      </w:r>
      <w:r>
        <w:t xml:space="preserve"> </w:t>
      </w:r>
      <w:r>
        <w:t xml:space="preserve">Mix: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(stima MI team da bilanci pubblici e report di settore) —</w:t>
      </w:r>
      <w:r>
        <w:t xml:space="preserve"> </w:t>
      </w:r>
      <w:r>
        <w:rPr>
          <w:i/>
          <w:iCs/>
        </w:rPr>
        <w:t xml:space="preserve">fonte primaria oggi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EXT-A5 (Customer Monitoring)</w:t>
      </w:r>
      <w:r>
        <w:t xml:space="preserve"> </w:t>
      </w:r>
      <w:r>
        <w:t xml:space="preserve">— può arricchire la stima leggendo annual report, capital markets day, MD&amp;A sections</w:t>
      </w:r>
      <w:r>
        <w:t xml:space="preserve"> </w:t>
      </w:r>
      <w:r>
        <w:t xml:space="preserve">- Eventuali abbonamenti a database: CRU, Wood Mackenzie, BloombergNEF, Bain reports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Annuale (con refresh trimestrale se l’agente trova segnali rilevanti).</w:t>
      </w:r>
    </w:p>
    <w:p>
      <w:pPr>
        <w:pStyle w:val="BodyText"/>
      </w:pPr>
      <w:r>
        <w:rPr>
          <w:b/>
          <w:bCs/>
        </w:rPr>
        <w:t xml:space="preserve">Dove appare nell’app.</w:t>
      </w:r>
      <w:r>
        <w:t xml:space="preserve"> </w:t>
      </w:r>
      <w:r>
        <w:t xml:space="preserve">Country ID → Quadrant 4</w:t>
      </w:r>
      <w:r>
        <w:t xml:space="preserve"> </w:t>
      </w:r>
      <w:r>
        <w:t xml:space="preserve">“Market Value by Customer”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 Phase 1.</w:t>
      </w:r>
      <w:r>
        <w:t xml:space="preserve"> </w:t>
      </w:r>
      <w:r>
        <w:t xml:space="preserve">Il Customer Monitoring agent (A5) deve estrarre da:</w:t>
      </w:r>
      <w:r>
        <w:t xml:space="preserve"> </w:t>
      </w:r>
      <w:r>
        <w:t xml:space="preserve">- Bilanci consolidati (10-K SEC, 20-F, EU CONSOB filings)</w:t>
      </w:r>
      <w:r>
        <w:t xml:space="preserve"> </w:t>
      </w:r>
      <w:r>
        <w:t xml:space="preserve">- Press release di gare vinte (per stimare il run-rate)</w:t>
      </w:r>
      <w:r>
        <w:t xml:space="preserve"> </w:t>
      </w:r>
      <w:r>
        <w:t xml:space="preserve">- Annunci CAPEX per stimare la spesa procurement legata</w:t>
      </w:r>
    </w:p>
    <w:p>
      <w:pPr>
        <w:pStyle w:val="BodyText"/>
      </w:pPr>
      <w:r>
        <w:t xml:space="preserve">Senza agente, l’unica fonte affidabile è il MI team che mantiene il file con queste stime.</w:t>
      </w:r>
    </w:p>
    <w:p>
      <w:r>
        <w:pict>
          <v:rect style="width:0;height:1.5pt" o:hralign="center" o:hrstd="t" o:hr="t"/>
        </w:pict>
      </w:r>
    </w:p>
    <w:bookmarkEnd w:id="15"/>
    <w:bookmarkStart w:id="16" w:name="X05d2a8fa65c4446db18f301b34c6b4819508b51"/>
    <w:p>
      <w:pPr>
        <w:pStyle w:val="Heading2"/>
      </w:pPr>
      <w:r>
        <w:t xml:space="preserve">5.4 Share of Wallet (SoW) — quota portafoglio cliente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Quale percentuale della spesa cavi-comparable di un cliente Prysmian intercetta.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È il KPI che dice se sto crescendo</w:t>
      </w:r>
      <w:r>
        <w:t xml:space="preserve"> </w:t>
      </w:r>
      <w:r>
        <w:rPr>
          <w:i/>
          <w:iCs/>
        </w:rPr>
        <w:t xml:space="preserve">all’interno</w:t>
      </w:r>
      <w:r>
        <w:t xml:space="preserve"> </w:t>
      </w:r>
      <w:r>
        <w:t xml:space="preserve">di un cliente esistente o se sto perdendo terreno verso i competitor. Una SoW del 30% su un cliente da 1M€ vale più di una SoW del 90% su un cliente da 100k€ — il</w:t>
      </w:r>
      <w:r>
        <w:t xml:space="preserve"> </w:t>
      </w:r>
      <w:r>
        <w:rPr>
          <w:b/>
          <w:bCs/>
        </w:rPr>
        <w:t xml:space="preserve">white space</w:t>
      </w:r>
      <w:r>
        <w:t xml:space="preserve"> </w:t>
      </w:r>
      <w:r>
        <w:t xml:space="preserve">è dove si gioca la crescita.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sow(c)         = sales_by_customer(c) / market_value(c)</w:t>
      </w:r>
      <w:r>
        <w:br/>
      </w:r>
      <w:r>
        <w:rPr>
          <w:rStyle w:val="VerbatimChar"/>
        </w:rPr>
        <w:t xml:space="preserve">white_space(c) = max(0, market_value(c) - sales_by_customer(c))</w:t>
      </w:r>
      <w:r>
        <w:br/>
      </w:r>
      <w:r>
        <w:rPr>
          <w:rStyle w:val="VerbatimChar"/>
        </w:rPr>
        <w:t xml:space="preserve">sow_band(c)    = "low" if &lt;40%, "mid" if 40-70%, "high" if ≥70%</w:t>
      </w:r>
    </w:p>
    <w:p>
      <w:pPr>
        <w:pStyle w:val="FirstParagraph"/>
      </w:pPr>
      <w:r>
        <w:rPr>
          <w:b/>
          <w:bCs/>
        </w:rPr>
        <w:t xml:space="preserve">Fonte dati.</w:t>
      </w:r>
      <w:r>
        <w:t xml:space="preserve"> </w:t>
      </w:r>
      <w:r>
        <w:t xml:space="preserve">Derivato: combina 5.1 (interno SAP) e 5.3 (stima MI + agente A5).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Coerente con il più lento dei due input (annuale, refresh trimestrale).</w:t>
      </w:r>
    </w:p>
    <w:p>
      <w:pPr>
        <w:pStyle w:val="BodyText"/>
      </w:pPr>
      <w:r>
        <w:rPr>
          <w:b/>
          <w:bCs/>
        </w:rPr>
        <w:t xml:space="preserve">Dove appare nell’app.</w:t>
      </w:r>
      <w:r>
        <w:t xml:space="preserve"> </w:t>
      </w:r>
      <w:r>
        <w:t xml:space="preserve">- Country ID → Quadrant 4bis</w:t>
      </w:r>
      <w:r>
        <w:t xml:space="preserve"> </w:t>
      </w:r>
      <w:r>
        <w:t xml:space="preserve">“Share of Wallet”</w:t>
      </w:r>
      <w:r>
        <w:t xml:space="preserve"> </w:t>
      </w:r>
      <w:r>
        <w:t xml:space="preserve">- AI Country Insight (banner narrativo)</w:t>
      </w:r>
      <w:r>
        <w:t xml:space="preserve"> </w:t>
      </w:r>
      <w:r>
        <w:t xml:space="preserve">- Drill-down customer modal</w:t>
      </w:r>
    </w:p>
    <w:p>
      <w:pPr>
        <w:pStyle w:val="BodyText"/>
      </w:pPr>
      <w:r>
        <w:rPr>
          <w:b/>
          <w:bCs/>
        </w:rPr>
        <w:t xml:space="preserve">Azioni che innesca.</w:t>
      </w:r>
      <w:r>
        <w:t xml:space="preserve"> </w:t>
      </w:r>
      <w:r>
        <w:t xml:space="preserve">- SoW &lt; 40% →</w:t>
      </w:r>
      <w:r>
        <w:t xml:space="preserve"> </w:t>
      </w:r>
      <w:r>
        <w:t xml:space="preserve">“share-shift initiative”</w:t>
      </w:r>
      <w:r>
        <w:t xml:space="preserve"> </w:t>
      </w:r>
      <w:r>
        <w:t xml:space="preserve">→ spostare quota da un competitor</w:t>
      </w:r>
      <w:r>
        <w:t xml:space="preserve"> </w:t>
      </w:r>
      <w:r>
        <w:t xml:space="preserve">- SoW 40-69% →</w:t>
      </w:r>
      <w:r>
        <w:t xml:space="preserve"> </w:t>
      </w:r>
      <w:r>
        <w:t xml:space="preserve">“cross-sell”</w:t>
      </w:r>
      <w:r>
        <w:t xml:space="preserve"> </w:t>
      </w:r>
      <w:r>
        <w:t xml:space="preserve">→ vendere prodotti adiacenti</w:t>
      </w:r>
      <w:r>
        <w:t xml:space="preserve"> </w:t>
      </w:r>
      <w:r>
        <w:t xml:space="preserve">- SoW ≥ 70% →</w:t>
      </w:r>
      <w:r>
        <w:t xml:space="preserve"> </w:t>
      </w:r>
      <w:r>
        <w:t xml:space="preserve">“defend &amp; protect margin”</w:t>
      </w:r>
      <w:r>
        <w:t xml:space="preserve"> </w:t>
      </w:r>
      <w:r>
        <w:t xml:space="preserve">→ blindare con contratti pluriennali</w:t>
      </w:r>
    </w:p>
    <w:p>
      <w:r>
        <w:pict>
          <v:rect style="width:0;height:1.5pt" o:hralign="center" o:hrstd="t" o:hr="t"/>
        </w:pict>
      </w:r>
    </w:p>
    <w:bookmarkEnd w:id="16"/>
    <w:bookmarkStart w:id="17" w:name="total-share-of-wallet-cluster-country"/>
    <w:p>
      <w:pPr>
        <w:pStyle w:val="Heading2"/>
      </w:pPr>
      <w:r>
        <w:t xml:space="preserve">5.5 Total Share of Wallet (cluster country)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SoW aggregata sui clienti tracciati in un paese.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total_sow = Σ sales_by_customer / Σ market_value_by_customer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5.4.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Country ID → tile</w:t>
      </w:r>
      <w:r>
        <w:t xml:space="preserve"> </w:t>
      </w:r>
      <w:r>
        <w:t xml:space="preserve">“Total share of wallet”</w:t>
      </w:r>
      <w:r>
        <w:t xml:space="preserve"> </w:t>
      </w:r>
      <w:r>
        <w:t xml:space="preserve">(default 58% su Italy demo).</w:t>
      </w:r>
    </w:p>
    <w:p>
      <w:r>
        <w:pict>
          <v:rect style="width:0;height:1.5pt" o:hralign="center" o:hrstd="t" o:hr="t"/>
        </w:pict>
      </w:r>
    </w:p>
    <w:bookmarkEnd w:id="17"/>
    <w:bookmarkStart w:id="18" w:name="account-tier-tier-strategico-cliente"/>
    <w:p>
      <w:pPr>
        <w:pStyle w:val="Heading2"/>
      </w:pPr>
      <w:r>
        <w:t xml:space="preserve">5.6 Account Tier (Tier strategico cliente)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Una classificazione del cliente in 3 fasce di importanza strategica.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· Strategic</w:t>
            </w:r>
          </w:p>
        </w:tc>
        <w:tc>
          <w:tcPr/>
          <w:p>
            <w:pPr>
              <w:pStyle w:val="Compact"/>
            </w:pPr>
            <w:r>
              <w:t xml:space="preserve">Account chiave per business e relazione (es. utility nazionale)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· Key</w:t>
            </w:r>
          </w:p>
        </w:tc>
        <w:tc>
          <w:tcPr/>
          <w:p>
            <w:pPr>
              <w:pStyle w:val="Compact"/>
            </w:pPr>
            <w:r>
              <w:t xml:space="preserve">Top 20 account del paese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 · Growth</w:t>
            </w:r>
          </w:p>
        </w:tc>
        <w:tc>
          <w:tcPr/>
          <w:p>
            <w:pPr>
              <w:pStyle w:val="Compact"/>
            </w:pPr>
            <w:r>
              <w:t xml:space="preserve">Account a crescita, opportunità futura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 dati.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Account.Tier__c</w:t>
      </w:r>
      <w:r>
        <w:t xml:space="preserve"> </w:t>
      </w:r>
      <w:r>
        <w:t xml:space="preserve">o equivalente custom field). Curato dal Key Account Manager.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Salesforce → highlight strip +</w:t>
      </w:r>
      <w:r>
        <w:t xml:space="preserve"> </w:t>
      </w:r>
      <w:r>
        <w:t xml:space="preserve">“Customer tier”</w:t>
      </w:r>
      <w:r>
        <w:t xml:space="preserve"> </w:t>
      </w:r>
      <w:r>
        <w:t xml:space="preserve">badge.</w:t>
      </w:r>
    </w:p>
    <w:p>
      <w:r>
        <w:pict>
          <v:rect style="width:0;height:1.5pt" o:hralign="center" o:hrstd="t" o:hr="t"/>
        </w:pict>
      </w:r>
    </w:p>
    <w:bookmarkEnd w:id="18"/>
    <w:bookmarkStart w:id="19" w:name="open-opportunities-opportunità-aperte"/>
    <w:p>
      <w:pPr>
        <w:pStyle w:val="Heading2"/>
      </w:pPr>
      <w:r>
        <w:t xml:space="preserve">5.7 Open Opportunities (Opportunità aperte)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Numero di trattative commerciali in corso (non chiuse) con un cliente.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Indica il pipeline commerciale futuro. Pochi open opps = relazione</w:t>
      </w:r>
      <w:r>
        <w:t xml:space="preserve"> </w:t>
      </w:r>
      <w:r>
        <w:t xml:space="preserve">“spenta”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Fonte dati.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</w:t>
      </w:r>
      <w:r>
        <w:rPr>
          <w:rStyle w:val="VerbatimChar"/>
        </w:rPr>
        <w:t xml:space="preserve">Opportunity.StageName</w:t>
      </w:r>
      <w:r>
        <w:t xml:space="preserve"> </w:t>
      </w:r>
      <w:r>
        <w:t xml:space="preserve">≠</w:t>
      </w:r>
      <w:r>
        <w:t xml:space="preserve"> </w:t>
      </w:r>
      <w:r>
        <w:t xml:space="preserve">‘Closed Won’</w:t>
      </w:r>
      <w:r>
        <w:t xml:space="preserve"> </w:t>
      </w:r>
      <w:r>
        <w:t xml:space="preserve">AND ≠</w:t>
      </w:r>
      <w:r>
        <w:t xml:space="preserve"> </w:t>
      </w:r>
      <w:r>
        <w:t xml:space="preserve">‘Closed Lost’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SF → panel</w:t>
      </w:r>
      <w:r>
        <w:t xml:space="preserve"> </w:t>
      </w:r>
      <w:r>
        <w:t xml:space="preserve">“Prysmian relationship”</w:t>
      </w:r>
      <w:r>
        <w:t xml:space="preserve"> </w:t>
      </w:r>
      <w:r>
        <w:t xml:space="preserve">+ tabella</w:t>
      </w:r>
      <w:r>
        <w:t xml:space="preserve"> </w:t>
      </w:r>
      <w:r>
        <w:t xml:space="preserve">“Open opportunities”</w:t>
      </w:r>
      <w:r>
        <w:t xml:space="preserve"> </w:t>
      </w:r>
      <w:r>
        <w:t xml:space="preserve">con Stage / Amount / Close Date.</w:t>
      </w:r>
    </w:p>
    <w:p>
      <w:r>
        <w:pict>
          <v:rect style="width:0;height:1.5pt" o:hralign="center" o:hrstd="t" o:hr="t"/>
        </w:pict>
      </w:r>
    </w:p>
    <w:bookmarkEnd w:id="19"/>
    <w:bookmarkStart w:id="20" w:name="closedwon-ytd-vinte-da-inizio-anno"/>
    <w:p>
      <w:pPr>
        <w:pStyle w:val="Heading2"/>
      </w:pPr>
      <w:r>
        <w:t xml:space="preserve">5.8 Closed/Won YTD (Vinte da inizio anno)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Numero di opportunità chiuse vincendole nell’anno corrente.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won_ytd(c) = | Opportunity WHERE Account=c</w:t>
      </w:r>
      <w:r>
        <w:br/>
      </w:r>
      <w:r>
        <w:rPr>
          <w:rStyle w:val="VerbatimChar"/>
        </w:rPr>
        <w:t xml:space="preserve">              AND StageName='Closed Won'</w:t>
      </w:r>
      <w:r>
        <w:br/>
      </w:r>
      <w:r>
        <w:rPr>
          <w:rStyle w:val="VerbatimChar"/>
        </w:rPr>
        <w:t xml:space="preserve">              AND CloseDate &gt;= 1 Jan anno corrente |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INT-SFDC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SF.</w:t>
      </w:r>
    </w:p>
    <w:p>
      <w:r>
        <w:pict>
          <v:rect style="width:0;height:1.5pt" o:hralign="center" o:hrstd="t" o:hr="t"/>
        </w:pict>
      </w:r>
    </w:p>
    <w:bookmarkEnd w:id="20"/>
    <w:bookmarkStart w:id="21" w:name="last-activity-ultima-attività"/>
    <w:p>
      <w:pPr>
        <w:pStyle w:val="Heading2"/>
      </w:pPr>
      <w:r>
        <w:t xml:space="preserve">5.9 Last Activity (Ultima attività)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Giorni dall’ultima interazione registrata con il cliente (visita, call, mail tracciata).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&gt; 30 giorni di silenzio su un Tier 1 è un campanello d’allarme.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Account.LastActivityDate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SF.</w:t>
      </w:r>
    </w:p>
    <w:p>
      <w:r>
        <w:pict>
          <v:rect style="width:0;height:1.5pt" o:hralign="center" o:hrstd="t" o:hr="t"/>
        </w:pict>
      </w:r>
    </w:p>
    <w:bookmarkEnd w:id="21"/>
    <w:bookmarkStart w:id="22" w:name="customer-since-cliente-dal"/>
    <w:p>
      <w:pPr>
        <w:pStyle w:val="Heading2"/>
      </w:pPr>
      <w:r>
        <w:t xml:space="preserve">5.10 Customer Since (Cliente dal)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Anno di inizio rapporto.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Account.SinceDate__c</w:t>
      </w:r>
      <w:r>
        <w:t xml:space="preserve">) o data prima fattura</w:t>
      </w:r>
      <w:r>
        <w:t xml:space="preserve"> </w:t>
      </w:r>
      <w:r>
        <w:rPr>
          <w:b/>
          <w:bCs/>
        </w:rPr>
        <w:t xml:space="preserve">INT-SAP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SF → highlight strip.</w:t>
      </w:r>
    </w:p>
    <w:p>
      <w:r>
        <w:pict>
          <v:rect style="width:0;height:1.5pt" o:hralign="center" o:hrstd="t" o:hr="t"/>
        </w:pict>
      </w:r>
    </w:p>
    <w:bookmarkEnd w:id="22"/>
    <w:bookmarkStart w:id="23" w:name="annual-revenue-cliente"/>
    <w:p>
      <w:pPr>
        <w:pStyle w:val="Heading2"/>
      </w:pPr>
      <w:r>
        <w:t xml:space="preserve">5.11 Annual Revenue (cliente)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Fatturato totale del cliente (suo, non da Prysmian).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AnnualRevenue</w:t>
      </w:r>
      <w:r>
        <w:t xml:space="preserve"> </w:t>
      </w:r>
      <w:r>
        <w:t xml:space="preserve">arricchito da provider tipo Dun &amp; Bradstreet o ZoomInfo)</w:t>
      </w:r>
      <w:r>
        <w:t xml:space="preserve"> </w:t>
      </w:r>
      <w:r>
        <w:rPr>
          <w:b/>
          <w:bCs/>
        </w:rPr>
        <w:t xml:space="preserve">+ EXT-A5</w:t>
      </w:r>
      <w:r>
        <w:t xml:space="preserve"> </w:t>
      </w:r>
      <w:r>
        <w:t xml:space="preserve">che può aggiornare leggendo annual report.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SF → panel</w:t>
      </w:r>
      <w:r>
        <w:t xml:space="preserve"> </w:t>
      </w:r>
      <w:r>
        <w:t xml:space="preserve">“Account information”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mployees-cliente"/>
    <w:p>
      <w:pPr>
        <w:pStyle w:val="Heading2"/>
      </w:pPr>
      <w:r>
        <w:t xml:space="preserve">5.12 Employees (cliente)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Numero dipendenti del cliente.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INT-SFDC</w:t>
      </w:r>
      <w:r>
        <w:t xml:space="preserve"> </w:t>
      </w:r>
      <w:r>
        <w:t xml:space="preserve">(D&amp;B/ZoomInfo enrichment)</w:t>
      </w:r>
      <w:r>
        <w:t xml:space="preserve"> </w:t>
      </w:r>
      <w:r>
        <w:rPr>
          <w:b/>
          <w:bCs/>
        </w:rPr>
        <w:t xml:space="preserve">+ EXT-A5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a65025885cc6c4842e5c2b428f2677250adf7f9"/>
    <w:p>
      <w:pPr>
        <w:pStyle w:val="Heading1"/>
      </w:pPr>
      <w:r>
        <w:t xml:space="preserve">6. Categoria B — KPI prodotto / industriali (SAP-side)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misurano la dimensione</w:t>
      </w:r>
      <w:r>
        <w:t xml:space="preserve"> </w:t>
      </w:r>
      <w:r>
        <w:t xml:space="preserve">“supply side”</w:t>
      </w:r>
      <w:r>
        <w:t xml:space="preserve"> </w:t>
      </w:r>
      <w:r>
        <w:t xml:space="preserve">— cosa produciamo, in quali stabilimenti, a che prezzo, con che stock. Sono fondamentalmente master data SAP.</w:t>
      </w:r>
    </w:p>
    <w:bookmarkStart w:id="26" w:name="material-number-codice-materiale"/>
    <w:p>
      <w:pPr>
        <w:pStyle w:val="Heading2"/>
      </w:pPr>
      <w:r>
        <w:t xml:space="preserve">6.1 Material Number (Codice materiale)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ID univoco del materiale nel sistema SAP. Formato Prysmian:</w:t>
      </w:r>
      <w:r>
        <w:t xml:space="preserve"> </w:t>
      </w:r>
      <w:r>
        <w:rPr>
          <w:rStyle w:val="VerbatimChar"/>
        </w:rPr>
        <w:t xml:space="preserve">PRY-{tipo}-{numero}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PRY-MV-45489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(master data MARA).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header.</w:t>
      </w:r>
    </w:p>
    <w:p>
      <w:r>
        <w:pict>
          <v:rect style="width:0;height:1.5pt" o:hralign="center" o:hrstd="t" o:hr="t"/>
        </w:pict>
      </w:r>
    </w:p>
    <w:bookmarkEnd w:id="26"/>
    <w:bookmarkStart w:id="27" w:name="material-type"/>
    <w:p>
      <w:pPr>
        <w:pStyle w:val="Heading2"/>
      </w:pPr>
      <w:r>
        <w:t xml:space="preserve">6.2 Material Type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Classificazione SAP del materiale: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</w:t>
            </w:r>
          </w:p>
        </w:tc>
        <w:tc>
          <w:tcPr/>
          <w:p>
            <w:pPr>
              <w:pStyle w:val="Compact"/>
            </w:pPr>
            <w:r>
              <w:t xml:space="preserve">Finished good (prodotto finito)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HALB</w:t>
            </w:r>
          </w:p>
        </w:tc>
        <w:tc>
          <w:tcPr/>
          <w:p>
            <w:pPr>
              <w:pStyle w:val="Compact"/>
            </w:pPr>
            <w:r>
              <w:t xml:space="preserve">Semi-finished (semilavorato)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</w:t>
            </w:r>
          </w:p>
        </w:tc>
        <w:tc>
          <w:tcPr/>
          <w:p>
            <w:pPr>
              <w:pStyle w:val="Compact"/>
            </w:pPr>
            <w:r>
              <w:t xml:space="preserve">Raw material (materia prima — es. rame, polietilene)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MARA-MTART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badge</w:t>
      </w:r>
      <w:r>
        <w:t xml:space="preserve"> </w:t>
      </w:r>
      <w:r>
        <w:t xml:space="preserve">“Material type”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material-group"/>
    <w:p>
      <w:pPr>
        <w:pStyle w:val="Heading2"/>
      </w:pPr>
      <w:r>
        <w:t xml:space="preserve">6.3 Material Group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Famiglia merceologica (mapping a livello commerciale). Es. CBL-MV-EU (cavi MV Europa), OPT-FBR-EU (fibra ottica Europa).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MARA-MATKL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metadata strip + Basic data 1.</w:t>
      </w:r>
    </w:p>
    <w:p>
      <w:r>
        <w:pict>
          <v:rect style="width:0;height:1.5pt" o:hralign="center" o:hrstd="t" o:hr="t"/>
        </w:pict>
      </w:r>
    </w:p>
    <w:bookmarkEnd w:id="28"/>
    <w:bookmarkStart w:id="29" w:name="base-unit-of-measure-uom"/>
    <w:p>
      <w:pPr>
        <w:pStyle w:val="Heading2"/>
      </w:pPr>
      <w:r>
        <w:t xml:space="preserve">6.4 Base Unit of Measure (UoM)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Unità in cui si vende il materiale. Per cavi tipicamente</w:t>
      </w:r>
      <w:r>
        <w:t xml:space="preserve"> </w:t>
      </w:r>
      <w:r>
        <w:rPr>
          <w:rStyle w:val="VerbatimChar"/>
        </w:rPr>
        <w:t xml:space="preserve">KM</w:t>
      </w:r>
      <w:r>
        <w:t xml:space="preserve"> </w:t>
      </w:r>
      <w:r>
        <w:t xml:space="preserve">(chilometri), per accessori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(metri) o</w:t>
      </w:r>
      <w:r>
        <w:t xml:space="preserve"> </w:t>
      </w:r>
      <w:r>
        <w:rPr>
          <w:rStyle w:val="VerbatimChar"/>
        </w:rPr>
        <w:t xml:space="preserve">KG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MARA-MEINS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standard-price"/>
    <w:p>
      <w:pPr>
        <w:pStyle w:val="Heading2"/>
      </w:pPr>
      <w:r>
        <w:t xml:space="preserve">6.5 Standard Price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Prezzo di listino EUR / unità.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MBEW-STPRS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Sales: sales org. data →</w:t>
      </w:r>
      <w:r>
        <w:t xml:space="preserve"> </w:t>
      </w:r>
      <w:r>
        <w:t xml:space="preserve">“Standard price”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moving-average-price"/>
    <w:p>
      <w:pPr>
        <w:pStyle w:val="Heading2"/>
      </w:pPr>
      <w:r>
        <w:t xml:space="preserve">6.6 Moving Average Price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Prezzo medio mobile effettivo (riflette costi reali recenti).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Confronto con</w:t>
      </w:r>
      <w:r>
        <w:t xml:space="preserve"> </w:t>
      </w:r>
      <w:r>
        <w:rPr>
          <w:rStyle w:val="VerbatimChar"/>
        </w:rPr>
        <w:t xml:space="preserve">Standard Price</w:t>
      </w:r>
      <w:r>
        <w:t xml:space="preserve"> </w:t>
      </w:r>
      <w:r>
        <w:t xml:space="preserve">rivela compressione/espansione margine.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MBEW-VERPR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stock-per-plant"/>
    <w:p>
      <w:pPr>
        <w:pStyle w:val="Heading2"/>
      </w:pPr>
      <w:r>
        <w:t xml:space="preserve">6.7 Stock per plant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Giacenza di materiale per stabilimento.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MARD-LABST</w:t>
      </w:r>
      <w:r>
        <w:t xml:space="preserve"> </w:t>
      </w:r>
      <w:r>
        <w:t xml:space="preserve">somma per plant).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tabella</w:t>
      </w:r>
      <w:r>
        <w:t xml:space="preserve"> </w:t>
      </w:r>
      <w:r>
        <w:t xml:space="preserve">“Plants &amp; storage”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Plants tipici Italia.</w:t>
      </w:r>
      <w:r>
        <w:t xml:space="preserve"> </w:t>
      </w:r>
      <w:r>
        <w:t xml:space="preserve">IT01 Pignataro Maggiore · IT02 Battipaglia · IT05 Livorno. Per altri paesi: DE01 Berlin, FR01 Calais, ecc.</w:t>
      </w:r>
    </w:p>
    <w:p>
      <w:r>
        <w:pict>
          <v:rect style="width:0;height:1.5pt" o:hralign="center" o:hrstd="t" o:hr="t"/>
        </w:pict>
      </w:r>
    </w:p>
    <w:bookmarkEnd w:id="32"/>
    <w:bookmarkStart w:id="33" w:name="lead-time"/>
    <w:p>
      <w:pPr>
        <w:pStyle w:val="Heading2"/>
      </w:pPr>
      <w:r>
        <w:t xml:space="preserve">6.8 Lead Time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Giorni medi tra ordine cliente e disponibilità materiale.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MARC-PLIFZ</w:t>
      </w:r>
      <w:r>
        <w:t xml:space="preserve"> </w:t>
      </w:r>
      <w:r>
        <w:t xml:space="preserve">planned delivery time per plant).</w:t>
      </w:r>
    </w:p>
    <w:p>
      <w:r>
        <w:pict>
          <v:rect style="width:0;height:1.5pt" o:hralign="center" o:hrstd="t" o:hr="t"/>
        </w:pict>
      </w:r>
    </w:p>
    <w:bookmarkEnd w:id="33"/>
    <w:bookmarkStart w:id="34" w:name="volume-ytd"/>
    <w:p>
      <w:pPr>
        <w:pStyle w:val="Heading2"/>
      </w:pPr>
      <w:r>
        <w:t xml:space="preserve">6.9 Volume YTD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Volume venduto (in unità base, es. KM) da inizio anno per materiale.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volume_ytd(m) = Σ ordini chiusi (m, current year) in MARC-LABST UoM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(joining MARD/VBAK).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Drill-down SAP → MI Hub link tile.</w:t>
      </w:r>
    </w:p>
    <w:p>
      <w:r>
        <w:pict>
          <v:rect style="width:0;height:1.5pt" o:hralign="center" o:hrstd="t" o:hr="t"/>
        </w:pict>
      </w:r>
    </w:p>
    <w:bookmarkEnd w:id="34"/>
    <w:bookmarkStart w:id="35" w:name="sales-org-distribution-channel"/>
    <w:p>
      <w:pPr>
        <w:pStyle w:val="Heading2"/>
      </w:pPr>
      <w:r>
        <w:t xml:space="preserve">6.10 Sales Org / Distribution Channel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Struttura commerciale SAP. Es.</w:t>
      </w:r>
      <w:r>
        <w:t xml:space="preserve"> </w:t>
      </w:r>
      <w:r>
        <w:rPr>
          <w:rStyle w:val="VerbatimChar"/>
        </w:rPr>
        <w:t xml:space="preserve">IT00 — Prysmian Italia · 10 — Direct sales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INT-SAP</w:t>
      </w:r>
      <w:r>
        <w:t xml:space="preserve"> </w:t>
      </w:r>
      <w:r>
        <w:t xml:space="preserve">(</w:t>
      </w:r>
      <w:r>
        <w:rPr>
          <w:rStyle w:val="VerbatimChar"/>
        </w:rPr>
        <w:t xml:space="preserve">KNVV-VKORG / VTWEG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4" w:name="Xc9d73b50a94b90dff47c0ad46c849d07477411d"/>
    <w:p>
      <w:pPr>
        <w:pStyle w:val="Heading1"/>
      </w:pPr>
      <w:r>
        <w:t xml:space="preserve">7. Categoria C — KPI pipeline progetti (project intelligence)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monitorano i progetti esterni (mining, grid, datacenter, rinnovabili) che generano domanda futura di cavi. È</w:t>
      </w:r>
      <w:r>
        <w:t xml:space="preserve"> </w:t>
      </w:r>
      <w:r>
        <w:rPr>
          <w:b/>
          <w:bCs/>
        </w:rPr>
        <w:t xml:space="preserve">il radar dell’opportunità futura</w:t>
      </w:r>
      <w:r>
        <w:t xml:space="preserve">: ogni progetto è un potenziale ordine 1-5 anni dopo.</w:t>
      </w:r>
    </w:p>
    <w:bookmarkStart w:id="37" w:name="project-anagrafica-progetto"/>
    <w:p>
      <w:pPr>
        <w:pStyle w:val="Heading2"/>
      </w:pPr>
      <w:r>
        <w:t xml:space="preserve">7.1 Project (anagrafica progetto)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Un record per ciascun progetto tracciato.</w:t>
      </w:r>
    </w:p>
    <w:p>
      <w:pPr>
        <w:pStyle w:val="BodyText"/>
      </w:pPr>
      <w:r>
        <w:rPr>
          <w:b/>
          <w:bCs/>
        </w:rPr>
        <w:t xml:space="preserve">Attributi chiave.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— nome progetto (es.</w:t>
      </w:r>
      <w:r>
        <w:t xml:space="preserve"> </w:t>
      </w:r>
      <w:r>
        <w:t xml:space="preserve">“Quebec Lithium Expansion”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— chi lo finanzia/possiede (es.</w:t>
      </w:r>
      <w:r>
        <w:t xml:space="preserve"> </w:t>
      </w:r>
      <w:r>
        <w:t xml:space="preserve">“Elevra”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— dove si svolge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copper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lithium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data_center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solar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operational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BodyText"/>
      </w:pPr>
      <w:r>
        <w:rPr>
          <w:b/>
          <w:bCs/>
        </w:rPr>
        <w:t xml:space="preserve">Fonte dati.</w:t>
      </w:r>
      <w:r>
        <w:t xml:space="preserve"> </w:t>
      </w:r>
      <w:r>
        <w:rPr>
          <w:b/>
          <w:bCs/>
        </w:rPr>
        <w:t xml:space="preserve">EXT-A1 Project Scouting agent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 pubbliche tipiche dell’agente: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mining.com</w:t>
      </w:r>
      <w:r>
        <w:t xml:space="preserve"> </w:t>
      </w:r>
      <w:r>
        <w:t xml:space="preserve">(RSS giornaliero)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S&amp;P Global Market Intelligence</w:t>
      </w:r>
      <w:r>
        <w:t xml:space="preserve"> </w:t>
      </w:r>
      <w:r>
        <w:t xml:space="preserve">(mining database — abbonamento)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Reuters mining/energy feed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BNEF (BloombergNEF) press releases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Wood Mackenzie</w:t>
      </w:r>
      <w:r>
        <w:t xml:space="preserve"> </w:t>
      </w:r>
      <w:r>
        <w:t xml:space="preserve">(consultancy reports — abbonamento)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Datacenter Knowledge / DC Byte</w:t>
      </w:r>
      <w:r>
        <w:t xml:space="preserve"> </w:t>
      </w:r>
      <w:r>
        <w:t xml:space="preserve">(datacenter database)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Wind/Solar databases</w:t>
      </w:r>
      <w:r>
        <w:t xml:space="preserve"> </w:t>
      </w:r>
      <w:r>
        <w:t xml:space="preserve">(EWEA, SolarPower Europe, IRENA)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BESS databases</w:t>
      </w:r>
      <w:r>
        <w:t xml:space="preserve"> </w:t>
      </w:r>
      <w:r>
        <w:t xml:space="preserve">(Energy Storage News, Wood Mackenzie 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EU-projects portals</w:t>
      </w:r>
      <w:r>
        <w:t xml:space="preserve"> </w:t>
      </w:r>
      <w:r>
        <w:t xml:space="preserve">(ENTSO-E TYNDP per grid)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Press release ufficiali degli owner</w:t>
      </w:r>
      <w:r>
        <w:t xml:space="preserve"> </w:t>
      </w:r>
      <w:r>
        <w:t xml:space="preserve">(es. Anglo American, Microsoft)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Continuo (ogni 6h refresh).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list, Project detail, Compare, Country ID side panel.</w:t>
      </w:r>
    </w:p>
    <w:p>
      <w:r>
        <w:pict>
          <v:rect style="width:0;height:1.5pt" o:hralign="center" o:hrstd="t" o:hr="t"/>
        </w:pict>
      </w:r>
    </w:p>
    <w:bookmarkEnd w:id="37"/>
    <w:bookmarkStart w:id="38" w:name="capex-estimate-stima-investimento"/>
    <w:p>
      <w:pPr>
        <w:pStyle w:val="Heading2"/>
      </w:pPr>
      <w:r>
        <w:t xml:space="preserve">7.2 CAPEX estimate (Stima investimento)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Quanti dollari (in milioni) investe l’owner totalmente nel progetto.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Proxy della dimensione del progetto. CAPEX alto → progetto rilevante → cable demand significativa.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EXT-A1</w:t>
      </w:r>
      <w:r>
        <w:t xml:space="preserve"> </w:t>
      </w:r>
      <w:r>
        <w:t xml:space="preserve">estrae dalla press release/articolo. Se non disponibile pubblicamente, lascia null.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Stesso pool di A1.</w:t>
      </w:r>
    </w:p>
    <w:p>
      <w:pPr>
        <w:pStyle w:val="BodyText"/>
      </w:pPr>
      <w:r>
        <w:rPr>
          <w:b/>
          <w:bCs/>
        </w:rPr>
        <w:t xml:space="preserve">Conversione valuta.</w:t>
      </w:r>
      <w:r>
        <w:t xml:space="preserve"> </w:t>
      </w:r>
      <w:r>
        <w:t xml:space="preserve">Sempre normalizzato a USD (FX al momento di pubblicazione).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list (colonna), Project detail KPI tile, Compare, AI Insight project.</w:t>
      </w:r>
    </w:p>
    <w:p>
      <w:r>
        <w:pict>
          <v:rect style="width:0;height:1.5pt" o:hralign="center" o:hrstd="t" o:hr="t"/>
        </w:pict>
      </w:r>
    </w:p>
    <w:bookmarkEnd w:id="38"/>
    <w:bookmarkStart w:id="39" w:name="capacity-capacità-impianto"/>
    <w:p>
      <w:pPr>
        <w:pStyle w:val="Heading2"/>
      </w:pPr>
      <w:r>
        <w:t xml:space="preserve">7.3 Capacity (Capacità impianto)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Per progetti energetici, la capacità in MW. Per mining, talvolta espressa come</w:t>
      </w:r>
      <w:r>
        <w:t xml:space="preserve"> </w:t>
      </w:r>
      <w:r>
        <w:rPr>
          <w:rStyle w:val="VerbatimChar"/>
        </w:rPr>
        <w:t xml:space="preserve">production kt/year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list, Project detail.</w:t>
      </w:r>
    </w:p>
    <w:p>
      <w:pPr>
        <w:pStyle w:val="BodyText"/>
      </w:pPr>
      <w:r>
        <w:rPr>
          <w:b/>
          <w:bCs/>
        </w:rPr>
        <w:t xml:space="preserve">Esempio.</w:t>
      </w:r>
      <w:r>
        <w:t xml:space="preserve"> </w:t>
      </w:r>
      <w:r>
        <w:t xml:space="preserve">Un parco eolico da 250 MW.</w:t>
      </w:r>
    </w:p>
    <w:p>
      <w:r>
        <w:pict>
          <v:rect style="width:0;height:1.5pt" o:hralign="center" o:hrstd="t" o:hr="t"/>
        </w:pict>
      </w:r>
    </w:p>
    <w:bookmarkEnd w:id="39"/>
    <w:bookmarkStart w:id="40" w:name="cable-demand-estimate-stima-domanda-cavi"/>
    <w:p>
      <w:pPr>
        <w:pStyle w:val="Heading2"/>
      </w:pPr>
      <w:r>
        <w:t xml:space="preserve">7.4 Cable Demand Estimate (Stima domanda cavi) ⭐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Stima dei chilometri di cavo che il progetto richiederà nel suo ciclo di vita.</w:t>
      </w:r>
      <w:r>
        <w:t xml:space="preserve"> </w:t>
      </w:r>
      <w:r>
        <w:rPr>
          <w:b/>
          <w:bCs/>
        </w:rPr>
        <w:t xml:space="preserve">Calcolato, non rilevato.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È il KPI più importante per Prysmian — collega un progetto esterno alla propria opportunità commerciale.</w:t>
      </w:r>
    </w:p>
    <w:p>
      <w:pPr>
        <w:pStyle w:val="BodyText"/>
      </w:pPr>
      <w:r>
        <w:rPr>
          <w:b/>
          <w:bCs/>
        </w:rPr>
        <w:t xml:space="preserve">Calcolo (formula intensità).</w:t>
      </w:r>
    </w:p>
    <w:p>
      <w:pPr>
        <w:pStyle w:val="SourceCode"/>
      </w:pPr>
      <w:r>
        <w:rPr>
          <w:rStyle w:val="VerbatimChar"/>
        </w:rPr>
        <w:t xml:space="preserve">INTENSITY = {</w:t>
      </w:r>
      <w:r>
        <w:br/>
      </w:r>
      <w:r>
        <w:rPr>
          <w:rStyle w:val="VerbatimChar"/>
        </w:rPr>
        <w:t xml:space="preserve">  copper      → 0.08 km / kt anno produzione</w:t>
      </w:r>
      <w:r>
        <w:br/>
      </w:r>
      <w:r>
        <w:rPr>
          <w:rStyle w:val="VerbatimChar"/>
        </w:rPr>
        <w:t xml:space="preserve">  lithium     → 0.06 km / kt anno</w:t>
      </w:r>
      <w:r>
        <w:br/>
      </w:r>
      <w:r>
        <w:rPr>
          <w:rStyle w:val="VerbatimChar"/>
        </w:rPr>
        <w:t xml:space="preserve">  nickel      → 0.07 km / kt anno</w:t>
      </w:r>
      <w:r>
        <w:br/>
      </w:r>
      <w:r>
        <w:rPr>
          <w:rStyle w:val="VerbatimChar"/>
        </w:rPr>
        <w:t xml:space="preserve">  data_center → 0.40 km / MW capacità</w:t>
      </w:r>
      <w:r>
        <w:br/>
      </w:r>
      <w:r>
        <w:rPr>
          <w:rStyle w:val="VerbatimChar"/>
        </w:rPr>
        <w:t xml:space="preserve">  wind        → 1.20 km / MW</w:t>
      </w:r>
      <w:r>
        <w:br/>
      </w:r>
      <w:r>
        <w:rPr>
          <w:rStyle w:val="VerbatimChar"/>
        </w:rPr>
        <w:t xml:space="preserve">  solar       → 0.50 km / MW</w:t>
      </w:r>
      <w:r>
        <w:br/>
      </w:r>
      <w:r>
        <w:rPr>
          <w:rStyle w:val="VerbatimChar"/>
        </w:rPr>
        <w:t xml:space="preserve">  BESS        → 0.30 km / MW</w:t>
      </w:r>
      <w:r>
        <w:br/>
      </w:r>
      <w:r>
        <w:rPr>
          <w:rStyle w:val="VerbatimChar"/>
        </w:rPr>
        <w:t xml:space="preserve">  grid        → 2.00 km / MW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cable_km = capacity * INTENSITY[project_type]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7.3 + tabella intensità. La tabella è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(curata dal team R&amp;D Prysmian, aggiornabile come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non</w:t>
      </w:r>
      <w:r>
        <w:t xml:space="preserve"> </w:t>
      </w:r>
      <w:r>
        <w:rPr>
          <w:i/>
          <w:iCs/>
        </w:rPr>
        <w:t xml:space="preserve">code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list, Project detail KPI tile, Compare row, AI Insight project, Country ID news/alerts panel.</w:t>
      </w:r>
    </w:p>
    <w:p>
      <w:r>
        <w:pict>
          <v:rect style="width:0;height:1.5pt" o:hralign="center" o:hrstd="t" o:hr="t"/>
        </w:pict>
      </w:r>
    </w:p>
    <w:bookmarkEnd w:id="40"/>
    <w:bookmarkStart w:id="41" w:name="project-status"/>
    <w:p>
      <w:pPr>
        <w:pStyle w:val="Heading2"/>
      </w:pPr>
      <w:r>
        <w:t xml:space="preserve">7.5 Project Status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Stadio del ciclo di vita: planning / construction / operational / cancelled.</w:t>
      </w:r>
    </w:p>
    <w:p>
      <w:pPr>
        <w:pStyle w:val="BodyText"/>
      </w:pPr>
      <w:r>
        <w:rPr>
          <w:b/>
          <w:bCs/>
        </w:rPr>
        <w:t xml:space="preserve">Importanza commerciale.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 </w:t>
      </w:r>
      <w:r>
        <w:t xml:space="preserve">→ opportunità futura (1-3 anni)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 </w:t>
      </w:r>
      <w:r>
        <w:t xml:space="preserve">→ ordine cavi imminente (mesi)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operational</w:t>
      </w:r>
      <w:r>
        <w:t xml:space="preserve"> </w:t>
      </w:r>
      <w:r>
        <w:t xml:space="preserve">→ opportunità di refresh / espansione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→ rimuovi dalla pipeline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EXT-A1</w:t>
      </w:r>
      <w:r>
        <w:t xml:space="preserve"> </w:t>
      </w:r>
      <w:r>
        <w:t xml:space="preserve">estrae e normalizza i termini variabili degli articoli.</w:t>
      </w:r>
    </w:p>
    <w:p>
      <w:r>
        <w:pict>
          <v:rect style="width:0;height:1.5pt" o:hralign="center" o:hrstd="t" o:hr="t"/>
        </w:pict>
      </w:r>
    </w:p>
    <w:bookmarkEnd w:id="41"/>
    <w:bookmarkStart w:id="42" w:name="start-year-end-year-anni-vita"/>
    <w:p>
      <w:pPr>
        <w:pStyle w:val="Heading2"/>
      </w:pPr>
      <w:r>
        <w:t xml:space="preserve">7.6 Start Year / End Year (Anni vita)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Anno previsto di inizio operations e fine ciclo di vita.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list, Project detail, timeline auto-built.</w:t>
      </w:r>
    </w:p>
    <w:p>
      <w:r>
        <w:pict>
          <v:rect style="width:0;height:1.5pt" o:hralign="center" o:hrstd="t" o:hr="t"/>
        </w:pict>
      </w:r>
    </w:p>
    <w:bookmarkEnd w:id="42"/>
    <w:bookmarkStart w:id="43" w:name="flagged-of-interest-flag-strategico"/>
    <w:p>
      <w:pPr>
        <w:pStyle w:val="Heading2"/>
      </w:pPr>
      <w:r>
        <w:t xml:space="preserve">7.7 Flagged of Interest (Flag strategico) ⭐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Bool: il progetto è di interesse strategico per Prysmian?</w:t>
      </w:r>
    </w:p>
    <w:p>
      <w:pPr>
        <w:pStyle w:val="BodyText"/>
      </w:pPr>
      <w:r>
        <w:rPr>
          <w:b/>
          <w:bCs/>
        </w:rPr>
        <w:t xml:space="preserve">Regola.</w:t>
      </w:r>
    </w:p>
    <w:p>
      <w:pPr>
        <w:pStyle w:val="SourceCode"/>
      </w:pPr>
      <w:r>
        <w:rPr>
          <w:rStyle w:val="VerbatimChar"/>
        </w:rPr>
        <w:t xml:space="preserve">flagged = (</w:t>
      </w:r>
      <w:r>
        <w:br/>
      </w:r>
      <w:r>
        <w:rPr>
          <w:rStyle w:val="VerbatimChar"/>
        </w:rPr>
        <w:t xml:space="preserve">  cable_demand_km &gt;= 100</w:t>
      </w:r>
      <w:r>
        <w:br/>
      </w:r>
      <w:r>
        <w:rPr>
          <w:rStyle w:val="VerbatimChar"/>
        </w:rPr>
        <w:t xml:space="preserve">  AND country in [paesi prioritari Prysmian]</w:t>
      </w:r>
      <w:r>
        <w:br/>
      </w:r>
      <w:r>
        <w:rPr>
          <w:rStyle w:val="VerbatimChar"/>
        </w:rPr>
        <w:t xml:space="preserve">  AND status in {planning, construction}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  LLM_judgment(name+owner+description) == "strategic"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- Regola:</w:t>
      </w:r>
      <w:r>
        <w:t xml:space="preserve"> </w:t>
      </w:r>
      <w:r>
        <w:rPr>
          <w:b/>
          <w:bCs/>
        </w:rPr>
        <w:t xml:space="preserve">EXT-A1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(lista paesi prioritari).</w:t>
      </w:r>
      <w:r>
        <w:t xml:space="preserve"> </w:t>
      </w:r>
      <w:r>
        <w:t xml:space="preserve">- Judgment AI:</w:t>
      </w:r>
      <w:r>
        <w:t xml:space="preserve"> </w:t>
      </w:r>
      <w:r>
        <w:rPr>
          <w:b/>
          <w:bCs/>
        </w:rPr>
        <w:t xml:space="preserve">EXT-A1</w:t>
      </w:r>
      <w:r>
        <w:t xml:space="preserve"> </w:t>
      </w:r>
      <w:r>
        <w:t xml:space="preserve">(modello Claude Sonnet).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Star icon nelle tabelle, badge nel Project detail, filtro</w:t>
      </w:r>
      <w:r>
        <w:t xml:space="preserve"> </w:t>
      </w:r>
      <w:r>
        <w:t xml:space="preserve">“Flagged only”</w:t>
      </w:r>
      <w:r>
        <w:t xml:space="preserve">, AI Country Insight (</w:t>
      </w:r>
      <w:r>
        <w:t xml:space="preserve">“Highest gap…”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Start w:id="44" w:name="Xf8243f96c98e172304f5ae0842879171efe8af1"/>
    <w:p>
      <w:pPr>
        <w:pStyle w:val="Heading2"/>
      </w:pPr>
      <w:r>
        <w:t xml:space="preserve">7.8 Total CAPEX Exposure (Esposizione CAPEX totale)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Somma del CAPEX dei progetti filtrati.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total_capex = Σ project.capex_estimate_musd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7.2.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AI Insight, Compare row.</w:t>
      </w:r>
    </w:p>
    <w:p>
      <w:r>
        <w:pict>
          <v:rect style="width:0;height:1.5pt" o:hralign="center" o:hrstd="t" o:hr="t"/>
        </w:pict>
      </w:r>
    </w:p>
    <w:bookmarkEnd w:id="44"/>
    <w:bookmarkStart w:id="45" w:name="total-cable-demand-domanda-totale-cavi"/>
    <w:p>
      <w:pPr>
        <w:pStyle w:val="Heading2"/>
      </w:pPr>
      <w:r>
        <w:t xml:space="preserve">7.9 Total Cable Demand (Domanda totale cavi)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Somma della cable demand dei progetti filtrati.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total_cable = Σ project.cable_demand_estimate_km</w:t>
      </w:r>
    </w:p>
    <w:p>
      <w:pPr>
        <w:pStyle w:val="FirstParagraph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AI Insight, Compare row.</w:t>
      </w:r>
    </w:p>
    <w:p>
      <w:r>
        <w:pict>
          <v:rect style="width:0;height:1.5pt" o:hralign="center" o:hrstd="t" o:hr="t"/>
        </w:pict>
      </w:r>
    </w:p>
    <w:bookmarkEnd w:id="45"/>
    <w:bookmarkStart w:id="46" w:name="Xf53f8281c1d887b0179a5d0ea65a7e645508e85"/>
    <w:p>
      <w:pPr>
        <w:pStyle w:val="Heading2"/>
      </w:pPr>
      <w:r>
        <w:t xml:space="preserve">7.10 Pipeline analytics — Capacity (MW) by country &amp; status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Per ciascun paese, MW totali planning vs construction vs operating.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Identifica i mercati con più capacità in arrivo (construction) e con maturità raggiunta (operating).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mwByCountry[c] = {</w:t>
      </w:r>
      <w:r>
        <w:br/>
      </w:r>
      <w:r>
        <w:rPr>
          <w:rStyle w:val="VerbatimChar"/>
        </w:rPr>
        <w:t xml:space="preserve">  planning:     Σ MW (status contains 'plan')</w:t>
      </w:r>
      <w:r>
        <w:br/>
      </w:r>
      <w:r>
        <w:rPr>
          <w:rStyle w:val="VerbatimChar"/>
        </w:rPr>
        <w:t xml:space="preserve">  construction: Σ MW (status contains 'constr' or 'build')</w:t>
      </w:r>
      <w:r>
        <w:br/>
      </w:r>
      <w:r>
        <w:rPr>
          <w:rStyle w:val="VerbatimChar"/>
        </w:rPr>
        <w:t xml:space="preserve">  operating:    Σ MW (status contains 'oper')</w:t>
      </w:r>
      <w:r>
        <w:br/>
      </w:r>
      <w:r>
        <w:rPr>
          <w:rStyle w:val="VerbatimChar"/>
        </w:rPr>
        <w:t xml:space="preserve">  total:        Σ MW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7.3 + 7.5.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→ bar chart</w:t>
      </w:r>
      <w:r>
        <w:t xml:space="preserve"> </w:t>
      </w:r>
      <w:r>
        <w:t xml:space="preserve">“MW by country &amp; status”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top-owners-by-capex"/>
    <w:p>
      <w:pPr>
        <w:pStyle w:val="Heading2"/>
      </w:pPr>
      <w:r>
        <w:t xml:space="preserve">7.11 Top Owners by CAPEX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 primi 6 owner per investimento totale (somma CAPEX dei loro progetti).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Indica i clienti potenziali più</w:t>
      </w:r>
      <w:r>
        <w:t xml:space="preserve"> </w:t>
      </w:r>
      <w:r>
        <w:t xml:space="preserve">“grossi”</w:t>
      </w:r>
      <w:r>
        <w:t xml:space="preserve"> </w:t>
      </w:r>
      <w:r>
        <w:t xml:space="preserve">della pipeline. Apri una conversazione commerciale con i top owner.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for each owner o:</w:t>
      </w:r>
      <w:r>
        <w:br/>
      </w:r>
      <w:r>
        <w:rPr>
          <w:rStyle w:val="VerbatimChar"/>
        </w:rPr>
        <w:t xml:space="preserve">  count(o) = numero progetti</w:t>
      </w:r>
      <w:r>
        <w:br/>
      </w:r>
      <w:r>
        <w:rPr>
          <w:rStyle w:val="VerbatimChar"/>
        </w:rPr>
        <w:t xml:space="preserve">  capex(o) = Σ capex</w:t>
      </w:r>
      <w:r>
        <w:br/>
      </w:r>
      <w:r>
        <w:rPr>
          <w:rStyle w:val="VerbatimChar"/>
        </w:rPr>
        <w:t xml:space="preserve">  mw(o)    = Σ capacity_mw</w:t>
      </w:r>
      <w:r>
        <w:br/>
      </w:r>
      <w:r>
        <w:rPr>
          <w:rStyle w:val="VerbatimChar"/>
        </w:rPr>
        <w:t xml:space="preserve">  hyper(o) = isHyperscaler(o)</w:t>
      </w:r>
      <w:r>
        <w:br/>
      </w:r>
      <w:r>
        <w:rPr>
          <w:rStyle w:val="VerbatimChar"/>
        </w:rPr>
        <w:t xml:space="preserve">top_owners = sort desc by capex, take 6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7.1 + 7.2.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→ tabella</w:t>
      </w:r>
      <w:r>
        <w:t xml:space="preserve"> </w:t>
      </w:r>
      <w:r>
        <w:t xml:space="preserve">“Top owners”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top-3-owner-concentration"/>
    <w:p>
      <w:pPr>
        <w:pStyle w:val="Heading2"/>
      </w:pPr>
      <w:r>
        <w:t xml:space="preserve">7.12 Top-3 Owner Concentration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Percentuale di CAPEX totale concentrata sui primi 3 owner.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Alta concentrazione =</w:t>
      </w:r>
      <w:r>
        <w:t xml:space="preserve"> </w:t>
      </w:r>
      <w:r>
        <w:t xml:space="preserve">“se perdo i top 3 perdo la pipeline”</w:t>
      </w:r>
      <w:r>
        <w:t xml:space="preserve"> </w:t>
      </w:r>
      <w:r>
        <w:t xml:space="preserve">→ rischio commerciale.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top3_share = (Σ capex top 3 owner) / total_capex * 100</w:t>
      </w:r>
    </w:p>
    <w:p>
      <w:r>
        <w:pict>
          <v:rect style="width:0;height:1.5pt" o:hralign="center" o:hrstd="t" o:hr="t"/>
        </w:pict>
      </w:r>
    </w:p>
    <w:bookmarkEnd w:id="48"/>
    <w:bookmarkStart w:id="49" w:name="avg-investment-per-mw"/>
    <w:p>
      <w:pPr>
        <w:pStyle w:val="Heading2"/>
      </w:pPr>
      <w:r>
        <w:t xml:space="preserve">7.13 Avg Investment per MW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Quanto costa mediamente</w:t>
      </w:r>
      <w:r>
        <w:t xml:space="preserve"> </w:t>
      </w:r>
      <w:r>
        <w:t xml:space="preserve">“1 MW di capacità”</w:t>
      </w:r>
      <w:r>
        <w:t xml:space="preserve"> </w:t>
      </w:r>
      <w:r>
        <w:t xml:space="preserve">nella pipeline. Indice di intensità del mercato.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avg_inv_per_mw = total_capex / total_mw</w:t>
      </w:r>
    </w:p>
    <w:p>
      <w:r>
        <w:pict>
          <v:rect style="width:0;height:1.5pt" o:hralign="center" o:hrstd="t" o:hr="t"/>
        </w:pict>
      </w:r>
    </w:p>
    <w:bookmarkEnd w:id="49"/>
    <w:bookmarkStart w:id="50" w:name="avg-project-duration"/>
    <w:p>
      <w:pPr>
        <w:pStyle w:val="Heading2"/>
      </w:pPr>
      <w:r>
        <w:t xml:space="preserve">7.14 Avg Project Duration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Anni medi di durata progetto (end_year − start_year).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avg_duration = Σ(end_year - start_year) / count(progetti con entrambi gli anni)</w:t>
      </w:r>
    </w:p>
    <w:p>
      <w:r>
        <w:pict>
          <v:rect style="width:0;height:1.5pt" o:hralign="center" o:hrstd="t" o:hr="t"/>
        </w:pict>
      </w:r>
    </w:p>
    <w:bookmarkEnd w:id="50"/>
    <w:bookmarkStart w:id="51" w:name="green-project-share"/>
    <w:p>
      <w:pPr>
        <w:pStyle w:val="Heading2"/>
      </w:pPr>
      <w:r>
        <w:t xml:space="preserve">7.15 Green Project Share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Quota di progetti</w:t>
      </w:r>
      <w:r>
        <w:t xml:space="preserve"> </w:t>
      </w:r>
      <w:r>
        <w:t xml:space="preserve">“green”</w:t>
      </w:r>
      <w:r>
        <w:t xml:space="preserve"> </w:t>
      </w:r>
      <w:r>
        <w:t xml:space="preserve">(rinnovabili, sustainable) sul totale.</w:t>
      </w:r>
    </w:p>
    <w:p>
      <w:pPr>
        <w:pStyle w:val="BodyText"/>
      </w:pPr>
      <w:r>
        <w:rPr>
          <w:b/>
          <w:bCs/>
        </w:rPr>
        <w:t xml:space="preserve">Identificazione.</w:t>
      </w:r>
      <w:r>
        <w:t xml:space="preserve"> </w:t>
      </w:r>
      <w:r>
        <w:t xml:space="preserve">Match su keyword nel nome/owner: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breeam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sustain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green_count = | projects WHERE green_match |</w:t>
      </w:r>
      <w:r>
        <w:br/>
      </w:r>
      <w:r>
        <w:rPr>
          <w:rStyle w:val="VerbatimChar"/>
        </w:rPr>
        <w:t xml:space="preserve">green_share = green_count / total * 100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EXT-A1</w:t>
      </w:r>
      <w:r>
        <w:t xml:space="preserve"> </w:t>
      </w:r>
      <w:r>
        <w:t xml:space="preserve">(texto del progetto) +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(keyword set è configurabile).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analytics card.</w:t>
      </w:r>
    </w:p>
    <w:p>
      <w:r>
        <w:pict>
          <v:rect style="width:0;height:1.5pt" o:hralign="center" o:hrstd="t" o:hr="t"/>
        </w:pict>
      </w:r>
    </w:p>
    <w:bookmarkEnd w:id="51"/>
    <w:bookmarkStart w:id="52" w:name="hyperscaler-projects-count"/>
    <w:p>
      <w:pPr>
        <w:pStyle w:val="Heading2"/>
      </w:pPr>
      <w:r>
        <w:t xml:space="preserve">7.16 Hyperscaler Projects Count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Quanti progetti hanno come owner uno dei grandi hyperscaler cloud.</w:t>
      </w:r>
    </w:p>
    <w:p>
      <w:pPr>
        <w:pStyle w:val="BodyText"/>
      </w:pPr>
      <w:r>
        <w:rPr>
          <w:b/>
          <w:bCs/>
        </w:rPr>
        <w:t xml:space="preserve">Identificazione.</w:t>
      </w:r>
      <w:r>
        <w:t xml:space="preserve"> </w:t>
      </w:r>
      <w:r>
        <w:t xml:space="preserve">Match owner contro lista: Microsoft, Google, Amazon/AWS, Meta, Digital Realty, Equinix, Oracle.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Mercato datacenter è in boom — gli hyperscaler sono i clienti chiave.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7.1 + lista</w:t>
      </w:r>
      <w:r>
        <w:t xml:space="preserve"> </w:t>
      </w:r>
      <w:r>
        <w:rPr>
          <w:b/>
          <w:bCs/>
        </w:rPr>
        <w:t xml:space="preserve">INT-MAN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Projects page analytics card.</w:t>
      </w:r>
    </w:p>
    <w:p>
      <w:r>
        <w:pict>
          <v:rect style="width:0;height:1.5pt" o:hralign="center" o:hrstd="t" o:hr="t"/>
        </w:pict>
      </w:r>
    </w:p>
    <w:bookmarkEnd w:id="52"/>
    <w:bookmarkStart w:id="53" w:name="status-breakdown-donut-chart"/>
    <w:p>
      <w:pPr>
        <w:pStyle w:val="Heading2"/>
      </w:pPr>
      <w:r>
        <w:t xml:space="preserve">7.17 Status Breakdown (Donut chart)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Distribuzione progetti per status (Operating / Construction / Planning).</w:t>
      </w:r>
    </w:p>
    <w:p>
      <w:pPr>
        <w:pStyle w:val="BodyText"/>
      </w:pPr>
      <w:r>
        <w:rPr>
          <w:b/>
          <w:bCs/>
        </w:rPr>
        <w:t xml:space="preserve">Calcolo.</w:t>
      </w:r>
      <w:r>
        <w:t xml:space="preserve"> </w:t>
      </w:r>
      <w:r>
        <w:t xml:space="preserve">Count per categoria.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Xa8dd1229a4fe12bf6dca923de5dcc5411d1ed1f"/>
    <w:p>
      <w:pPr>
        <w:pStyle w:val="Heading1"/>
      </w:pPr>
      <w:r>
        <w:t xml:space="preserve">8. Categoria D — KPI macro/economici (market context)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indicatori macro che muovono la domanda</w:t>
      </w:r>
      <w:r>
        <w:t xml:space="preserve"> </w:t>
      </w:r>
      <w:r>
        <w:rPr>
          <w:i/>
          <w:iCs/>
        </w:rPr>
        <w:t xml:space="preserve">strutturale</w:t>
      </w:r>
      <w:r>
        <w:t xml:space="preserve"> </w:t>
      </w:r>
      <w:r>
        <w:t xml:space="preserve">di cavi. Servono a contestualizzare i KPI commerciali: se le vendite in Italia calano, è specifico di Prysmian o è il mercato?</w:t>
      </w:r>
    </w:p>
    <w:bookmarkStart w:id="55" w:name="gdp-pil-paese"/>
    <w:p>
      <w:pPr>
        <w:pStyle w:val="Heading2"/>
      </w:pPr>
      <w:r>
        <w:t xml:space="preserve">8.1 GDP (PIL paese)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Prodotto Interno Lordo del paese, in indice o valore corrente.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Correlazione moderata con domanda cavi (settori edilizia/industria).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 Micro/Macro KPI Alerts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 pubbliche.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Eurostat</w:t>
      </w:r>
      <w:r>
        <w:t xml:space="preserve"> </w:t>
      </w:r>
      <w:r>
        <w:t xml:space="preserve">(</w:t>
      </w:r>
      <w:r>
        <w:rPr>
          <w:rStyle w:val="VerbatimChar"/>
        </w:rPr>
        <w:t xml:space="preserve">nama_10_gdp</w:t>
      </w:r>
      <w:r>
        <w:t xml:space="preserve">) — gratis,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Istat</w:t>
      </w:r>
      <w:r>
        <w:t xml:space="preserve"> </w:t>
      </w:r>
      <w:r>
        <w:t xml:space="preserve">(Italia)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INSEE</w:t>
      </w:r>
      <w:r>
        <w:t xml:space="preserve"> </w:t>
      </w:r>
      <w:r>
        <w:t xml:space="preserve">(Francia)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Destatis</w:t>
      </w:r>
      <w:r>
        <w:t xml:space="preserve"> </w:t>
      </w:r>
      <w:r>
        <w:t xml:space="preserve">(Germania)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INE</w:t>
      </w:r>
      <w:r>
        <w:t xml:space="preserve"> </w:t>
      </w:r>
      <w:r>
        <w:t xml:space="preserve">(Spagna)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CBS</w:t>
      </w:r>
      <w:r>
        <w:t xml:space="preserve"> </w:t>
      </w:r>
      <w:r>
        <w:t xml:space="preserve">(Olanda)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Trimestrale (con revisioni).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→ indicator card</w:t>
      </w:r>
      <w:r>
        <w:t xml:space="preserve"> </w:t>
      </w:r>
      <w:r>
        <w:t xml:space="preserve">“GDP”</w:t>
      </w:r>
      <w:r>
        <w:t xml:space="preserve">. Country ID → Macro snapshot tile</w:t>
      </w:r>
      <w:r>
        <w:t xml:space="preserve"> </w:t>
      </w:r>
      <w:r>
        <w:t xml:space="preserve">“GDP trend”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construction-output"/>
    <w:p>
      <w:pPr>
        <w:pStyle w:val="Heading2"/>
      </w:pPr>
      <w:r>
        <w:t xml:space="preserve">8.2 Construction Output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Volume produzione del settore costruzioni, indicizzato.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rPr>
          <w:b/>
          <w:bCs/>
        </w:rPr>
        <w:t xml:space="preserve">Driver primario</w:t>
      </w:r>
      <w:r>
        <w:t xml:space="preserve"> </w:t>
      </w:r>
      <w:r>
        <w:t xml:space="preserve">per cavi LV/MV nell’edilizia. Quando l’edilizia rallenta, cala la domanda residenziale e non-residenziale.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 pubbliche.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Eurostat</w:t>
      </w:r>
      <w:r>
        <w:t xml:space="preserve"> </w:t>
      </w:r>
      <w:r>
        <w:t xml:space="preserve">(</w:t>
      </w:r>
      <w:r>
        <w:rPr>
          <w:rStyle w:val="VerbatimChar"/>
        </w:rPr>
        <w:t xml:space="preserve">sts_copr_m</w:t>
      </w:r>
      <w:r>
        <w:t xml:space="preserve">)</w:t>
      </w:r>
      <w:r>
        <w:t xml:space="preserve"> </w:t>
      </w:r>
      <w:r>
        <w:t xml:space="preserve">- Istat (it)</w:t>
      </w:r>
      <w:r>
        <w:t xml:space="preserve"> </w:t>
      </w:r>
      <w:r>
        <w:rPr>
          <w:rStyle w:val="VerbatimChar"/>
        </w:rPr>
        <w:t xml:space="preserve">Produzione nelle costruzioni</w:t>
      </w:r>
      <w:r>
        <w:t xml:space="preserve"> </w:t>
      </w:r>
      <w:r>
        <w:t xml:space="preserve">- ONS (UK)</w:t>
      </w:r>
      <w:r>
        <w:t xml:space="preserve"> </w:t>
      </w:r>
      <w:r>
        <w:t xml:space="preserve">- Destatis bauproduktion (DE)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Mensile.</w:t>
      </w:r>
    </w:p>
    <w:p>
      <w:r>
        <w:pict>
          <v:rect style="width:0;height:1.5pt" o:hralign="center" o:hrstd="t" o:hr="t"/>
        </w:pict>
      </w:r>
    </w:p>
    <w:bookmarkEnd w:id="56"/>
    <w:bookmarkStart w:id="57" w:name="residential-market-output"/>
    <w:p>
      <w:pPr>
        <w:pStyle w:val="Heading2"/>
      </w:pPr>
      <w:r>
        <w:t xml:space="preserve">8.3 Residential Market Output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Output del segmento edilizia residenziale.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Driver per cavi LSZH residenziali, accessori, distribuzione.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Same as 8.2, filtrato per</w:t>
      </w:r>
      <w:r>
        <w:t xml:space="preserve"> </w:t>
      </w:r>
      <w:r>
        <w:rPr>
          <w:rStyle w:val="VerbatimChar"/>
        </w:rPr>
        <w:t xml:space="preserve">NACE F.41.20 Residential buildings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non-residential-market-output"/>
    <w:p>
      <w:pPr>
        <w:pStyle w:val="Heading2"/>
      </w:pPr>
      <w:r>
        <w:t xml:space="preserve">8.4 Non-Residential Market Output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Output edilizia non-residenziale (uffici, retail, industriale, infrastruttura).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Driver per cavi MV/HV in progetti commerciali e datacenter.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 Same sorgenti, NACE F.41.20 (residential) e F.42 (civil engineering) escluso residential.</w:t>
      </w:r>
    </w:p>
    <w:p>
      <w:r>
        <w:pict>
          <v:rect style="width:0;height:1.5pt" o:hralign="center" o:hrstd="t" o:hr="t"/>
        </w:pict>
      </w:r>
    </w:p>
    <w:bookmarkEnd w:id="58"/>
    <w:bookmarkStart w:id="59" w:name="building-permits-ytd-permessi-edilizi"/>
    <w:p>
      <w:pPr>
        <w:pStyle w:val="Heading2"/>
      </w:pPr>
      <w:r>
        <w:t xml:space="preserve">8.5 Building Permits YTD (Permessi edilizi)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Numero permessi edilizi rilasciati da inizio anno.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rPr>
          <w:b/>
          <w:bCs/>
        </w:rPr>
        <w:t xml:space="preserve">Indicatore leading</w:t>
      </w:r>
      <w:r>
        <w:t xml:space="preserve"> </w:t>
      </w:r>
      <w:r>
        <w:t xml:space="preserve">— i permessi precedono la costruzione di 6-12 mesi, quindi</w:t>
      </w:r>
      <w:r>
        <w:t xml:space="preserve"> </w:t>
      </w:r>
      <w:r>
        <w:rPr>
          <w:i/>
          <w:iCs/>
        </w:rPr>
        <w:t xml:space="preserve">anticipano</w:t>
      </w:r>
      <w:r>
        <w:t xml:space="preserve"> </w:t>
      </w:r>
      <w:r>
        <w:t xml:space="preserve">la domanda di cavi.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- Eurostat</w:t>
      </w:r>
      <w:r>
        <w:t xml:space="preserve"> </w:t>
      </w:r>
      <w:r>
        <w:rPr>
          <w:rStyle w:val="VerbatimChar"/>
        </w:rPr>
        <w:t xml:space="preserve">sts_cobp_m</w:t>
      </w:r>
      <w:r>
        <w:t xml:space="preserve"> </w:t>
      </w:r>
      <w:r>
        <w:t xml:space="preserve">- Istat permessi di costruire (it)</w:t>
      </w:r>
      <w:r>
        <w:t xml:space="preserve"> </w:t>
      </w:r>
      <w:r>
        <w:t xml:space="preserve">- Statistics Netherlands (CBS) bouwvergunningen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Mensile.</w:t>
      </w:r>
    </w:p>
    <w:p>
      <w:r>
        <w:pict>
          <v:rect style="width:0;height:1.5pt" o:hralign="center" o:hrstd="t" o:hr="t"/>
        </w:pict>
      </w:r>
    </w:p>
    <w:bookmarkEnd w:id="59"/>
    <w:bookmarkStart w:id="60" w:name="pmi-purchasing-managers-index"/>
    <w:p>
      <w:pPr>
        <w:pStyle w:val="Heading2"/>
      </w:pPr>
      <w:r>
        <w:t xml:space="preserve">8.6 PMI (Purchasing Managers’ Index)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Sentiment manager acquisti industriali. &gt; 50 espansione, &lt; 50 contrazione.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rPr>
          <w:b/>
          <w:bCs/>
        </w:rPr>
        <w:t xml:space="preserve">Leading indicator</w:t>
      </w:r>
      <w:r>
        <w:t xml:space="preserve"> </w:t>
      </w:r>
      <w:r>
        <w:t xml:space="preserve">classico. Indica se le aziende prevedono di comprare di più o di meno nei prossimi mesi.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 pubbliche/abbonate.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S&amp;P Global PMI</w:t>
      </w:r>
      <w:r>
        <w:t xml:space="preserve"> </w:t>
      </w:r>
      <w:r>
        <w:t xml:space="preserve">(HCOB Eurozone Manufacturing PMI) — la fonte primaria, API a pagamento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Trading Economics</w:t>
      </w:r>
      <w:r>
        <w:t xml:space="preserve"> </w:t>
      </w:r>
      <w:r>
        <w:t xml:space="preserve">(aggregatore con API)</w:t>
      </w:r>
      <w:r>
        <w:t xml:space="preserve"> </w:t>
      </w:r>
      <w:r>
        <w:t xml:space="preserve">- Report mensili pubblici (con delay)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Mensile (1° giorno del mese successivo).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→ indicatore PMI 12 mesi + sparkline.</w:t>
      </w:r>
    </w:p>
    <w:p>
      <w:r>
        <w:pict>
          <v:rect style="width:0;height:1.5pt" o:hralign="center" o:hrstd="t" o:hr="t"/>
        </w:pict>
      </w:r>
    </w:p>
    <w:bookmarkEnd w:id="60"/>
    <w:bookmarkStart w:id="61" w:name="copper-price-lme"/>
    <w:p>
      <w:pPr>
        <w:pStyle w:val="Heading2"/>
      </w:pPr>
      <w:r>
        <w:t xml:space="preserve">8.7 Copper Price (LME)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Prezzo rame al London Metal Exchange (USD/tonne, spot).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rPr>
          <w:b/>
          <w:bCs/>
        </w:rPr>
        <w:t xml:space="preserve">Driver di costo diretto</w:t>
      </w:r>
      <w:r>
        <w:t xml:space="preserve"> </w:t>
      </w:r>
      <w:r>
        <w:t xml:space="preserve">per Prysmian (rame è la materia prima principale). Mosse del rame impattano margine.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 </w:t>
      </w:r>
      <w:r>
        <w:t xml:space="preserve">(sub-agente commodity).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LME</w:t>
      </w:r>
      <w:r>
        <w:t xml:space="preserve"> </w:t>
      </w:r>
      <w:r>
        <w:t xml:space="preserve">(London Metal Exchange) — API a pagamento, dati ufficiali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Trading Economics</w:t>
      </w:r>
      <w:r>
        <w:t xml:space="preserve"> </w:t>
      </w:r>
      <w:r>
        <w:t xml:space="preserve">copper futures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Bloomberg / Refinitiv</w:t>
      </w:r>
      <w:r>
        <w:t xml:space="preserve"> </w:t>
      </w:r>
      <w:r>
        <w:t xml:space="preserve">terminal (abbonamento)</w:t>
      </w:r>
      <w:r>
        <w:t xml:space="preserve"> </w:t>
      </w:r>
      <w:r>
        <w:t xml:space="preserve">- Yahoo Finance (free, ritardato 15 min)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Giornaliera (intraday possibile).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→ hero card con area chart + peak indicator + AI annotation.</w:t>
      </w:r>
    </w:p>
    <w:p>
      <w:r>
        <w:pict>
          <v:rect style="width:0;height:1.5pt" o:hralign="center" o:hrstd="t" o:hr="t"/>
        </w:pict>
      </w:r>
    </w:p>
    <w:bookmarkEnd w:id="61"/>
    <w:bookmarkStart w:id="62" w:name="cable-demand-nowcast-indice-composito"/>
    <w:p>
      <w:pPr>
        <w:pStyle w:val="Heading2"/>
      </w:pPr>
      <w:r>
        <w:t xml:space="preserve">8.8 Cable Demand Nowcast (Indice composito) ⭐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Indice 0-100 che combina PMI, permessi e construction output in un singolo segnale di</w:t>
      </w:r>
      <w:r>
        <w:t xml:space="preserve"> </w:t>
      </w:r>
      <w:r>
        <w:t xml:space="preserve">“salute domanda cavi nel paese”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nowcast = normalize(0..100) of weighted z-score combination of:</w:t>
      </w:r>
      <w:r>
        <w:br/>
      </w:r>
      <w:r>
        <w:rPr>
          <w:rStyle w:val="VerbatimChar"/>
        </w:rPr>
        <w:t xml:space="preserve">  - last PMI - 50   (deviazione dalla soglia)</w:t>
      </w:r>
      <w:r>
        <w:br/>
      </w:r>
      <w:r>
        <w:rPr>
          <w:rStyle w:val="VerbatimChar"/>
        </w:rPr>
        <w:t xml:space="preserve">  - permits momentum (YoY)</w:t>
      </w:r>
      <w:r>
        <w:br/>
      </w:r>
      <w:r>
        <w:rPr>
          <w:rStyle w:val="VerbatimChar"/>
        </w:rPr>
        <w:t xml:space="preserve">  - construction output growth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8.2 + 8.5 + 8.6.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Single number per BU/country team per capire</w:t>
      </w:r>
      <w:r>
        <w:t xml:space="preserve"> </w:t>
      </w:r>
      <w:r>
        <w:t xml:space="preserve">“vado bene o male”</w:t>
      </w:r>
      <w:r>
        <w:t xml:space="preserve"> </w:t>
      </w:r>
      <w:r>
        <w:t xml:space="preserve">senza guardare 3 grafici.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→ hero card</w:t>
      </w:r>
      <w:r>
        <w:t xml:space="preserve"> </w:t>
      </w:r>
      <w:r>
        <w:t xml:space="preserve">“Cable Demand Nowcast”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permits-momentum-yoy"/>
    <w:p>
      <w:pPr>
        <w:pStyle w:val="Heading2"/>
      </w:pPr>
      <w:r>
        <w:t xml:space="preserve">8.9 Permits Momentum (YoY)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Variazione anno-su-anno dei permessi YTD.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permits_momentum = (permits_current_YTD / permits_same_period_LY - 1) * 100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8.5.</w:t>
      </w:r>
    </w:p>
    <w:p>
      <w:r>
        <w:pict>
          <v:rect style="width:0;height:1.5pt" o:hralign="center" o:hrstd="t" o:hr="t"/>
        </w:pict>
      </w:r>
    </w:p>
    <w:bookmarkEnd w:id="63"/>
    <w:bookmarkStart w:id="64" w:name="seasonality-index"/>
    <w:p>
      <w:pPr>
        <w:pStyle w:val="Heading2"/>
      </w:pPr>
      <w:r>
        <w:t xml:space="preserve">8.10 Seasonality Index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Indice di stagionalità mensile sulle costruzioni (base 100 = media).</w:t>
      </w:r>
    </w:p>
    <w:p>
      <w:pPr>
        <w:pStyle w:val="BodyText"/>
      </w:pPr>
      <w:r>
        <w:rPr>
          <w:b/>
          <w:bCs/>
        </w:rPr>
        <w:t xml:space="preserve">Significato.</w:t>
      </w:r>
      <w:r>
        <w:t xml:space="preserve"> </w:t>
      </w:r>
      <w:r>
        <w:t xml:space="preserve">Dicembre/gennaio bassi (~84-88), primavera ed estate alti (~115-118).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(curato dal team data science Prysmian sulla base di storico) — può essere ricalcolato annualmente da serie storica di 8.2.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→ strip stagionalità.</w:t>
      </w:r>
    </w:p>
    <w:p>
      <w:r>
        <w:pict>
          <v:rect style="width:0;height:1.5pt" o:hralign="center" o:hrstd="t" o:hr="t"/>
        </w:pict>
      </w:r>
    </w:p>
    <w:bookmarkEnd w:id="64"/>
    <w:bookmarkStart w:id="65" w:name="interest-rates-fx-rates"/>
    <w:p>
      <w:pPr>
        <w:pStyle w:val="Heading2"/>
      </w:pPr>
      <w:r>
        <w:t xml:space="preserve">8.11 Interest Rates / FX rates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Tassi BCE/Fed, cambio EUR/USD/GBP.</w:t>
      </w:r>
    </w:p>
    <w:p>
      <w:pPr>
        <w:pStyle w:val="BodyText"/>
      </w:pPr>
      <w:r>
        <w:rPr>
          <w:b/>
          <w:bCs/>
        </w:rPr>
        <w:t xml:space="preserve">Perché è rilevante.</w:t>
      </w:r>
      <w:r>
        <w:t xml:space="preserve"> </w:t>
      </w:r>
      <w:r>
        <w:t xml:space="preserve">Tassi alti rallentano l’edilizia. FX impatta la competitività export.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ECB Statistical Data Warehouse</w:t>
      </w:r>
      <w:r>
        <w:t xml:space="preserve"> </w:t>
      </w:r>
      <w:r>
        <w:t xml:space="preserve">(API gratuita)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FRED</w:t>
      </w:r>
      <w:r>
        <w:t xml:space="preserve"> </w:t>
      </w:r>
      <w:r>
        <w:t xml:space="preserve">(Federal Reserve) per 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BoE</w:t>
      </w:r>
      <w:r>
        <w:t xml:space="preserve"> </w:t>
      </w:r>
      <w:r>
        <w:t xml:space="preserve">per UK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Giornaliera/mensile.</w:t>
      </w:r>
    </w:p>
    <w:p>
      <w:pPr>
        <w:pStyle w:val="BlockText"/>
      </w:pPr>
      <w:r>
        <w:rPr>
          <w:i/>
          <w:iCs/>
        </w:rPr>
        <w:t xml:space="preserve">Currently not exposed in the demo UI but planned for Phase 1.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categoria-e-kpi-competitivi-news"/>
    <w:p>
      <w:pPr>
        <w:pStyle w:val="Heading1"/>
      </w:pPr>
      <w:r>
        <w:t xml:space="preserve">9. Categoria E — KPI competitivi &amp; news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segnali esterni qualitativi sui competitor e sul contesto. Notizie, mosse, eventi che cambiano il quadro competitivo o di business.</w:t>
      </w:r>
    </w:p>
    <w:bookmarkStart w:id="67" w:name="news-item-singolo-articolo-curato"/>
    <w:p>
      <w:pPr>
        <w:pStyle w:val="Heading2"/>
      </w:pPr>
      <w:r>
        <w:t xml:space="preserve">9.1 News Item (singolo articolo curato)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Un articolo selezionato come rilevante per Prysmian.</w:t>
      </w:r>
    </w:p>
    <w:p>
      <w:pPr>
        <w:pStyle w:val="BodyText"/>
      </w:pPr>
      <w:r>
        <w:rPr>
          <w:b/>
          <w:bCs/>
        </w:rPr>
        <w:t xml:space="preserve">Attributi.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(mining.com, S&amp;P Global, Reuters,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(2-3 frasi AI-generated)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relevance_score</w:t>
      </w:r>
      <w:r>
        <w:t xml:space="preserve"> </w:t>
      </w:r>
      <w:r>
        <w:t xml:space="preserve">(vedi §9.3)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 </w:t>
      </w:r>
      <w:r>
        <w:t xml:space="preserve">(taxonomy match: copper, EV,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 </w:t>
      </w:r>
      <w:r>
        <w:t xml:space="preserve">(NER)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evidence_id</w:t>
      </w:r>
      <w:r>
        <w:t xml:space="preserve"> </w:t>
      </w:r>
      <w:r>
        <w:t xml:space="preserve">(audit trail)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EXT-A2 News Finder agent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Sorgenti pubbliche/abbonate.</w:t>
      </w:r>
      <w:r>
        <w:t xml:space="preserve"> </w:t>
      </w:r>
      <w:r>
        <w:t xml:space="preserve">- Riviste settore:</w:t>
      </w:r>
      <w:r>
        <w:t xml:space="preserve"> </w:t>
      </w:r>
      <w:r>
        <w:rPr>
          <w:b/>
          <w:bCs/>
        </w:rPr>
        <w:t xml:space="preserve">mining.com</w:t>
      </w:r>
      <w:r>
        <w:t xml:space="preserve">,</w:t>
      </w:r>
      <w:r>
        <w:t xml:space="preserve"> </w:t>
      </w:r>
      <w:r>
        <w:rPr>
          <w:b/>
          <w:bCs/>
        </w:rPr>
        <w:t xml:space="preserve">Cable Industry</w:t>
      </w:r>
      <w:r>
        <w:t xml:space="preserve">,</w:t>
      </w:r>
      <w:r>
        <w:t xml:space="preserve"> </w:t>
      </w:r>
      <w:r>
        <w:rPr>
          <w:b/>
          <w:bCs/>
        </w:rPr>
        <w:t xml:space="preserve">Recycling Today</w:t>
      </w:r>
      <w:r>
        <w:t xml:space="preserve">,</w:t>
      </w:r>
      <w:r>
        <w:t xml:space="preserve"> </w:t>
      </w:r>
      <w:r>
        <w:rPr>
          <w:b/>
          <w:bCs/>
        </w:rPr>
        <w:t xml:space="preserve">DataCenter Knowledge</w:t>
      </w:r>
      <w:r>
        <w:t xml:space="preserve"> </w:t>
      </w:r>
      <w:r>
        <w:t xml:space="preserve">- Aggregatori:</w:t>
      </w:r>
      <w:r>
        <w:t xml:space="preserve"> </w:t>
      </w:r>
      <w:r>
        <w:rPr>
          <w:b/>
          <w:bCs/>
        </w:rPr>
        <w:t xml:space="preserve">Google News RSS</w:t>
      </w:r>
      <w:r>
        <w:t xml:space="preserve"> </w:t>
      </w:r>
      <w:r>
        <w:t xml:space="preserve">per keyword set</w:t>
      </w:r>
      <w:r>
        <w:t xml:space="preserve"> </w:t>
      </w:r>
      <w:r>
        <w:t xml:space="preserve">- Notiziari finanziari:</w:t>
      </w:r>
      <w:r>
        <w:t xml:space="preserve"> </w:t>
      </w:r>
      <w:r>
        <w:rPr>
          <w:b/>
          <w:bCs/>
        </w:rPr>
        <w:t xml:space="preserve">Reuters</w:t>
      </w:r>
      <w:r>
        <w:t xml:space="preserve">,</w:t>
      </w:r>
      <w:r>
        <w:t xml:space="preserve"> </w:t>
      </w:r>
      <w:r>
        <w:rPr>
          <w:b/>
          <w:bCs/>
        </w:rPr>
        <w:t xml:space="preserve">Bloomberg</w:t>
      </w:r>
      <w:r>
        <w:t xml:space="preserve"> </w:t>
      </w:r>
      <w:r>
        <w:t xml:space="preserve">(abbonamento)</w:t>
      </w:r>
      <w:r>
        <w:t xml:space="preserve"> </w:t>
      </w:r>
      <w:r>
        <w:t xml:space="preserve">- Riviste tecniche:</w:t>
      </w:r>
      <w:r>
        <w:t xml:space="preserve"> </w:t>
      </w:r>
      <w:r>
        <w:rPr>
          <w:b/>
          <w:bCs/>
        </w:rPr>
        <w:t xml:space="preserve">IEEE Spectrum</w:t>
      </w:r>
      <w:r>
        <w:t xml:space="preserve">,</w:t>
      </w:r>
      <w:r>
        <w:t xml:space="preserve"> </w:t>
      </w:r>
      <w:r>
        <w:rPr>
          <w:b/>
          <w:bCs/>
        </w:rPr>
        <w:t xml:space="preserve">EUREL Cable Journal</w:t>
      </w:r>
      <w:r>
        <w:t xml:space="preserve"> </w:t>
      </w:r>
      <w:r>
        <w:t xml:space="preserve">- Pubblicazioni industria EU:</w:t>
      </w:r>
      <w:r>
        <w:t xml:space="preserve"> </w:t>
      </w:r>
      <w:r>
        <w:rPr>
          <w:b/>
          <w:bCs/>
        </w:rPr>
        <w:t xml:space="preserve">Europacable</w:t>
      </w:r>
      <w:r>
        <w:t xml:space="preserve">,</w:t>
      </w:r>
      <w:r>
        <w:t xml:space="preserve"> </w:t>
      </w:r>
      <w:r>
        <w:rPr>
          <w:b/>
          <w:bCs/>
        </w:rPr>
        <w:t xml:space="preserve">ICF Cable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Ogni 3 ore.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News &amp; Reports page, Dashboard</w:t>
      </w:r>
      <w:r>
        <w:t xml:space="preserve"> </w:t>
      </w:r>
      <w:r>
        <w:t xml:space="preserve">“Latest intelligence”</w:t>
      </w:r>
      <w:r>
        <w:t xml:space="preserve">, Country news panel.</w:t>
      </w:r>
    </w:p>
    <w:p>
      <w:r>
        <w:pict>
          <v:rect style="width:0;height:1.5pt" o:hralign="center" o:hrstd="t" o:hr="t"/>
        </w:pict>
      </w:r>
    </w:p>
    <w:bookmarkEnd w:id="67"/>
    <w:bookmarkStart w:id="68" w:name="relevance-score-per-news"/>
    <w:p>
      <w:pPr>
        <w:pStyle w:val="Heading2"/>
      </w:pPr>
      <w:r>
        <w:t xml:space="preserve">9.2 Relevance Score (per news)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Punteggio composito 0-1 di quanto la news sia rilevante per Prysmian.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relevance = 0.30 * taxonomy_match     (overlap keyword config)</w:t>
      </w:r>
      <w:r>
        <w:br/>
      </w:r>
      <w:r>
        <w:rPr>
          <w:rStyle w:val="VerbatimChar"/>
        </w:rPr>
        <w:t xml:space="preserve">          + 0.25 * geo_relevance       (paese in regions seguite)</w:t>
      </w:r>
      <w:r>
        <w:br/>
      </w:r>
      <w:r>
        <w:rPr>
          <w:rStyle w:val="VerbatimChar"/>
        </w:rPr>
        <w:t xml:space="preserve">          + 0.20 * source_authority    (rank pubblicazione)</w:t>
      </w:r>
      <w:r>
        <w:br/>
      </w:r>
      <w:r>
        <w:rPr>
          <w:rStyle w:val="VerbatimChar"/>
        </w:rPr>
        <w:t xml:space="preserve">          + 0.15 * recency             (decay 30 giorni)</w:t>
      </w:r>
      <w:r>
        <w:br/>
      </w:r>
      <w:r>
        <w:rPr>
          <w:rStyle w:val="VerbatimChar"/>
        </w:rPr>
        <w:t xml:space="preserve">          + 0.10 * embedding_proximity (cosine con topic vector Prysmian)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Calcolato da</w:t>
      </w:r>
      <w:r>
        <w:t xml:space="preserve"> </w:t>
      </w:r>
      <w:r>
        <w:rPr>
          <w:b/>
          <w:bCs/>
        </w:rPr>
        <w:t xml:space="preserve">EXT-A2</w:t>
      </w:r>
      <w:r>
        <w:t xml:space="preserve"> </w:t>
      </w:r>
      <w:r>
        <w:t xml:space="preserve">durante extraction.</w:t>
      </w:r>
    </w:p>
    <w:p>
      <w:pPr>
        <w:pStyle w:val="BodyText"/>
      </w:pPr>
      <w:r>
        <w:rPr>
          <w:b/>
          <w:bCs/>
        </w:rPr>
        <w:t xml:space="preserve">Soglie:</w:t>
      </w:r>
      <w:r>
        <w:t xml:space="preserve"> </w:t>
      </w:r>
      <w:r>
        <w:t xml:space="preserve">- ≥ 0.85 → high (chip verde)</w:t>
      </w:r>
      <w:r>
        <w:t xml:space="preserve"> </w:t>
      </w:r>
      <w:r>
        <w:t xml:space="preserve">- 0.65–0.84 → medium (chip blu)</w:t>
      </w:r>
      <w:r>
        <w:t xml:space="preserve"> </w:t>
      </w:r>
      <w:r>
        <w:t xml:space="preserve">- &lt; 0.65 → low (non surfacato in Review Queue)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News page, Review Queue, Alerts.</w:t>
      </w:r>
    </w:p>
    <w:p>
      <w:r>
        <w:pict>
          <v:rect style="width:0;height:1.5pt" o:hralign="center" o:hrstd="t" o:hr="t"/>
        </w:pict>
      </w:r>
    </w:p>
    <w:bookmarkEnd w:id="68"/>
    <w:bookmarkStart w:id="69" w:name="competitive-moves-mosse-competitor"/>
    <w:p>
      <w:pPr>
        <w:pStyle w:val="Heading2"/>
      </w:pPr>
      <w:r>
        <w:t xml:space="preserve">9.3 Competitive Moves (Mosse competitor)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Eventi specifici di un competitor: pricing, capacity, partnership, prodotto, M&amp;A.</w:t>
      </w:r>
    </w:p>
    <w:p>
      <w:pPr>
        <w:pStyle w:val="BodyText"/>
      </w:pPr>
      <w:r>
        <w:rPr>
          <w:b/>
          <w:bCs/>
        </w:rPr>
        <w:t xml:space="preserve">Esempi.</w:t>
      </w:r>
      <w:r>
        <w:t xml:space="preserve"> </w:t>
      </w:r>
      <w:r>
        <w:t xml:space="preserve">-</w:t>
      </w:r>
      <w:r>
        <w:t xml:space="preserve"> </w:t>
      </w:r>
      <w:r>
        <w:t xml:space="preserve">“Nexans · Capacity · New MV cable line announced — Battipaglia plant”</w:t>
      </w:r>
      <w:r>
        <w:t xml:space="preserve"> </w:t>
      </w:r>
      <w:r>
        <w:t xml:space="preserve">(high intensity)</w:t>
      </w:r>
      <w:r>
        <w:t xml:space="preserve"> </w:t>
      </w:r>
      <w:r>
        <w:t xml:space="preserve">-</w:t>
      </w:r>
      <w:r>
        <w:t xml:space="preserve"> </w:t>
      </w:r>
      <w:r>
        <w:t xml:space="preserve">“Hellenic Cables · Pricing · Aggressive bids on EDF tenders”</w:t>
      </w:r>
      <w:r>
        <w:t xml:space="preserve"> </w:t>
      </w:r>
      <w:r>
        <w:t xml:space="preserve">(high intensity)</w:t>
      </w:r>
      <w:r>
        <w:t xml:space="preserve"> </w:t>
      </w:r>
      <w:r>
        <w:t xml:space="preserve">-</w:t>
      </w:r>
      <w:r>
        <w:t xml:space="preserve"> </w:t>
      </w:r>
      <w:r>
        <w:t xml:space="preserve">“Lapp · Product · New CPR Cca-rated LSZH range”</w:t>
      </w:r>
      <w:r>
        <w:t xml:space="preserve"> </w:t>
      </w:r>
      <w:r>
        <w:t xml:space="preserve">(low intensity)</w:t>
      </w:r>
    </w:p>
    <w:p>
      <w:pPr>
        <w:pStyle w:val="BodyText"/>
      </w:pPr>
      <w:r>
        <w:rPr>
          <w:b/>
          <w:bCs/>
        </w:rPr>
        <w:t xml:space="preserve">Tipologie: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</w:t>
      </w:r>
      <w:r>
        <w:t xml:space="preserve"> </w:t>
      </w:r>
      <w:r>
        <w:t xml:space="preserve">— variazioni listino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— nuove linee produttive, espansioni stabilimenti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Partnership</w:t>
      </w:r>
      <w:r>
        <w:t xml:space="preserve"> </w:t>
      </w:r>
      <w:r>
        <w:t xml:space="preserve">— JV, framework agreement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— lancio nuovi prodotti/range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M&amp;A</w:t>
      </w:r>
      <w:r>
        <w:t xml:space="preserve"> </w:t>
      </w:r>
      <w:r>
        <w:t xml:space="preserve">— acquisizioni / fusioni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</w:t>
      </w:r>
      <w:r>
        <w:t xml:space="preserve"> </w:t>
      </w:r>
      <w:r>
        <w:t xml:space="preserve">— riorganizzazioni, dismissioni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EXT-A6 Competitor Monitoring</w:t>
      </w:r>
      <w:r>
        <w:t xml:space="preserve"> </w:t>
      </w:r>
      <w:r>
        <w:t xml:space="preserve">(Phase 2).</w:t>
      </w:r>
    </w:p>
    <w:p>
      <w:pPr>
        <w:pStyle w:val="BodyText"/>
      </w:pPr>
      <w:r>
        <w:rPr>
          <w:b/>
          <w:bCs/>
        </w:rPr>
        <w:t xml:space="preserve">Sorgenti pubbliche.</w:t>
      </w:r>
      <w:r>
        <w:t xml:space="preserve"> </w:t>
      </w:r>
      <w:r>
        <w:t xml:space="preserve">- Press release competitor (siti corporate Nexans, NKT, Prysmian, …)</w:t>
      </w:r>
      <w:r>
        <w:t xml:space="preserve"> </w:t>
      </w:r>
      <w:r>
        <w:t xml:space="preserve">- Investor relations / capital markets day</w:t>
      </w:r>
      <w:r>
        <w:t xml:space="preserve"> </w:t>
      </w:r>
      <w:r>
        <w:t xml:space="preserve">- Filing SEC/CONSOB</w:t>
      </w:r>
      <w:r>
        <w:t xml:space="preserve"> </w:t>
      </w:r>
      <w:r>
        <w:t xml:space="preserve">- LinkedIn corporate posts (con scraping etico)</w:t>
      </w:r>
      <w:r>
        <w:t xml:space="preserve"> </w:t>
      </w:r>
      <w:r>
        <w:t xml:space="preserve">- Riviste settore</w:t>
      </w:r>
      <w:r>
        <w:t xml:space="preserve"> </w:t>
      </w:r>
      <w:r>
        <w:t xml:space="preserve">- Conference (CIRED, CIGRE)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Ogni 6 ore.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page → tabella</w:t>
      </w:r>
      <w:r>
        <w:t xml:space="preserve"> </w:t>
      </w:r>
      <w:r>
        <w:t xml:space="preserve">“Competitive moves”</w:t>
      </w:r>
      <w:r>
        <w:t xml:space="preserve"> </w:t>
      </w:r>
      <w:r>
        <w:t xml:space="preserve">per paese.</w:t>
      </w:r>
    </w:p>
    <w:p>
      <w:r>
        <w:pict>
          <v:rect style="width:0;height:1.5pt" o:hralign="center" o:hrstd="t" o:hr="t"/>
        </w:pict>
      </w:r>
    </w:p>
    <w:bookmarkEnd w:id="69"/>
    <w:bookmarkStart w:id="70" w:name="intensity-di-mossa-competitiva"/>
    <w:p>
      <w:pPr>
        <w:pStyle w:val="Heading2"/>
      </w:pPr>
      <w:r>
        <w:t xml:space="preserve">9.4 Intensity (di mossa competitiva)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Severità della mossa: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Logica.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= impatto diretto sul mercato Prysmian (es. capacità grande, partnership con TSO)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</w:t>
      </w:r>
      <w:r>
        <w:t xml:space="preserve"> </w:t>
      </w:r>
      <w:r>
        <w:t xml:space="preserve">= significativo ma indiretto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= informativo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EXT-A6</w:t>
      </w:r>
      <w:r>
        <w:t xml:space="preserve"> </w:t>
      </w:r>
      <w:r>
        <w:t xml:space="preserve">classifica via LLM.</w:t>
      </w:r>
    </w:p>
    <w:p>
      <w:r>
        <w:pict>
          <v:rect style="width:0;height:1.5pt" o:hralign="center" o:hrstd="t" o:hr="t"/>
        </w:pict>
      </w:r>
    </w:p>
    <w:bookmarkEnd w:id="70"/>
    <w:bookmarkStart w:id="71" w:name="customer-event"/>
    <w:p>
      <w:pPr>
        <w:pStyle w:val="Heading2"/>
      </w:pPr>
      <w:r>
        <w:t xml:space="preserve">9.5 Customer Event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Evento su un cliente chiave: vincita progetto, cambio leadership, espansione capacità, annuncio capex.</w:t>
      </w:r>
    </w:p>
    <w:p>
      <w:pPr>
        <w:pStyle w:val="BodyText"/>
      </w:pPr>
      <w:r>
        <w:rPr>
          <w:b/>
          <w:bCs/>
        </w:rPr>
        <w:t xml:space="preserve">Tipologie.</w:t>
      </w:r>
      <w:r>
        <w:t xml:space="preserve"> </w:t>
      </w:r>
      <w:r>
        <w:t xml:space="preserve">- Project win (es.</w:t>
      </w:r>
      <w:r>
        <w:t xml:space="preserve"> </w:t>
      </w:r>
      <w:r>
        <w:t xml:space="preserve">“Terna vince tender HVDC”</w:t>
      </w:r>
      <w:r>
        <w:t xml:space="preserve">)</w:t>
      </w:r>
      <w:r>
        <w:t xml:space="preserve"> </w:t>
      </w:r>
      <w:r>
        <w:t xml:space="preserve">- Leadership change (nuovo CEO/Procurement Director)</w:t>
      </w:r>
      <w:r>
        <w:t xml:space="preserve"> </w:t>
      </w:r>
      <w:r>
        <w:t xml:space="preserve">- Capacity expansion (nuovo stabilimento)</w:t>
      </w:r>
      <w:r>
        <w:t xml:space="preserve"> </w:t>
      </w:r>
      <w:r>
        <w:t xml:space="preserve">- CAPEX announcement (piano investimenti pluriennale)</w:t>
      </w:r>
      <w:r>
        <w:t xml:space="preserve"> </w:t>
      </w:r>
      <w:r>
        <w:t xml:space="preserve">- Financial event (risultati Q4, M&amp;A)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EXT-A5 Customer Monitoring</w:t>
      </w:r>
      <w:r>
        <w:t xml:space="preserve"> </w:t>
      </w:r>
      <w:r>
        <w:t xml:space="preserve">(Phase 2).</w:t>
      </w:r>
    </w:p>
    <w:p>
      <w:pPr>
        <w:pStyle w:val="BodyText"/>
      </w:pPr>
      <w:r>
        <w:rPr>
          <w:b/>
          <w:bCs/>
        </w:rPr>
        <w:t xml:space="preserve">Sorgenti.</w:t>
      </w:r>
      <w:r>
        <w:t xml:space="preserve"> </w:t>
      </w:r>
      <w:r>
        <w:t xml:space="preserve">- Salesforce list (sync nightly) → per sapere QUALI clienti monitorare</w:t>
      </w:r>
      <w:r>
        <w:t xml:space="preserve"> </w:t>
      </w:r>
      <w:r>
        <w:t xml:space="preserve">- Annual reports / quarterly filings</w:t>
      </w:r>
      <w:r>
        <w:t xml:space="preserve"> </w:t>
      </w:r>
      <w:r>
        <w:t xml:space="preserve">- Press release cliente</w:t>
      </w:r>
      <w:r>
        <w:t xml:space="preserve"> </w:t>
      </w:r>
      <w:r>
        <w:t xml:space="preserve">- LinkedIn executives posts</w:t>
      </w:r>
      <w:r>
        <w:t xml:space="preserve"> </w:t>
      </w:r>
      <w:r>
        <w:t xml:space="preserve">- News rilevanti (dedup con A2)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Ogni 6 ore.</w:t>
      </w:r>
    </w:p>
    <w:p>
      <w:pPr>
        <w:pStyle w:val="BodyText"/>
      </w:pPr>
      <w:r>
        <w:rPr>
          <w:b/>
          <w:bCs/>
        </w:rPr>
        <w:t xml:space="preserve">Dove appare (Phase 2).</w:t>
      </w:r>
      <w:r>
        <w:t xml:space="preserve"> </w:t>
      </w:r>
      <w:r>
        <w:t xml:space="preserve">Alerts inbox tipo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 drill-down customer (panel</w:t>
      </w:r>
      <w:r>
        <w:t xml:space="preserve"> </w:t>
      </w:r>
      <w:r>
        <w:t xml:space="preserve">“Recent events”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1"/>
    <w:bookmarkStart w:id="72" w:name="policy-regulatory-event"/>
    <w:p>
      <w:pPr>
        <w:pStyle w:val="Heading2"/>
      </w:pPr>
      <w:r>
        <w:t xml:space="preserve">9.6 Policy / Regulatory Event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Programma pubblico, legge, normativa che impatta domanda cavi.</w:t>
      </w:r>
    </w:p>
    <w:p>
      <w:pPr>
        <w:pStyle w:val="BodyText"/>
      </w:pPr>
      <w:r>
        <w:rPr>
          <w:b/>
          <w:bCs/>
        </w:rPr>
        <w:t xml:space="preserve">Esempi reali demo.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Italy</w:t>
      </w:r>
      <w:r>
        <w:t xml:space="preserve">: PNRR Schools 2.0 (€3.9B, impact high) — obbliga CPR Cca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Italy</w:t>
      </w:r>
      <w:r>
        <w:t xml:space="preserve">: PNRR Healthcare (€8.7B, impact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France</w:t>
      </w:r>
      <w:r>
        <w:t xml:space="preserve">: France 2030 — Industry (impact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Germany</w:t>
      </w:r>
      <w:r>
        <w:t xml:space="preserve">: Stromnetzausbau TenneT/Amprion (HVDC, impact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Germany</w:t>
      </w:r>
      <w:r>
        <w:t xml:space="preserve">: GEG Building Energy Act 2026 (heat pumps, impact med)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Spain</w:t>
      </w:r>
      <w:r>
        <w:t xml:space="preserve">: PERTE Renewables (impact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Netherlands</w:t>
      </w:r>
      <w:r>
        <w:t xml:space="preserve">: Offshore Wind 2030 (impact high)</w:t>
      </w:r>
    </w:p>
    <w:p>
      <w:pPr>
        <w:pStyle w:val="BodyText"/>
      </w:pPr>
      <w:r>
        <w:rPr>
          <w:b/>
          <w:bCs/>
        </w:rPr>
        <w:t xml:space="preserve">Attributi.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(Q3 2026 – Q2 2027),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(high/med/low),</w:t>
      </w:r>
      <w:r>
        <w:t xml:space="preserve"> </w:t>
      </w:r>
      <w:r>
        <w:rPr>
          <w:rStyle w:val="VerbatimChar"/>
        </w:rPr>
        <w:t xml:space="preserve">note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b/>
          <w:bCs/>
        </w:rPr>
        <w:t xml:space="preserve">EXT-A3</w:t>
      </w:r>
      <w:r>
        <w:t xml:space="preserve"> </w:t>
      </w:r>
      <w:r>
        <w:t xml:space="preserve">(per parte numerica/temporale) +</w:t>
      </w:r>
      <w:r>
        <w:t xml:space="preserve"> </w:t>
      </w:r>
      <w:r>
        <w:rPr>
          <w:b/>
          <w:bCs/>
        </w:rPr>
        <w:t xml:space="preserve">EXT-A2</w:t>
      </w:r>
      <w:r>
        <w:t xml:space="preserve"> </w:t>
      </w:r>
      <w:r>
        <w:t xml:space="preserve">(per scoperta) +</w:t>
      </w:r>
      <w:r>
        <w:t xml:space="preserve"> </w:t>
      </w:r>
      <w:r>
        <w:rPr>
          <w:b/>
          <w:bCs/>
        </w:rPr>
        <w:t xml:space="preserve">INT-MAN</w:t>
      </w:r>
      <w:r>
        <w:t xml:space="preserve"> </w:t>
      </w:r>
      <w:r>
        <w:t xml:space="preserve">(curatura MI).</w:t>
      </w:r>
    </w:p>
    <w:p>
      <w:pPr>
        <w:pStyle w:val="BodyText"/>
      </w:pPr>
      <w:r>
        <w:rPr>
          <w:b/>
          <w:bCs/>
        </w:rPr>
        <w:t xml:space="preserve">Sorgenti pubbliche.</w:t>
      </w:r>
      <w:r>
        <w:t xml:space="preserve"> </w:t>
      </w:r>
      <w:r>
        <w:t xml:space="preserve">- Ministeri (sviluppo economico, transizione ecologica)</w:t>
      </w:r>
      <w:r>
        <w:t xml:space="preserve"> </w:t>
      </w:r>
      <w:r>
        <w:t xml:space="preserve">- EU Commission press releases</w:t>
      </w:r>
      <w:r>
        <w:t xml:space="preserve"> </w:t>
      </w:r>
      <w:r>
        <w:t xml:space="preserve">- Gazzetta Ufficiale (UE, IT)</w:t>
      </w:r>
      <w:r>
        <w:t xml:space="preserve"> </w:t>
      </w:r>
      <w:r>
        <w:t xml:space="preserve">- Bundesgesetzblatt (DE)</w:t>
      </w:r>
      <w:r>
        <w:t xml:space="preserve"> </w:t>
      </w:r>
      <w:r>
        <w:t xml:space="preserve">- Trade press settore costruzioni</w:t>
      </w:r>
    </w:p>
    <w:p>
      <w:pPr>
        <w:pStyle w:val="BodyText"/>
      </w:pPr>
      <w:r>
        <w:rPr>
          <w:b/>
          <w:bCs/>
        </w:rPr>
        <w:t xml:space="preserve">Frequenza.</w:t>
      </w:r>
      <w:r>
        <w:t xml:space="preserve"> </w:t>
      </w:r>
      <w:r>
        <w:t xml:space="preserve">Settimanale.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Market Trends page → tabella</w:t>
      </w:r>
      <w:r>
        <w:t xml:space="preserve"> </w:t>
      </w:r>
      <w:r>
        <w:t xml:space="preserve">“Policies &amp; programs”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categoria-f-kpi-alert-aisystem"/>
    <w:p>
      <w:pPr>
        <w:pStyle w:val="Heading1"/>
      </w:pPr>
      <w:r>
        <w:t xml:space="preserve">10. Categoria F — KPI alert &amp; AI/system</w:t>
      </w:r>
    </w:p>
    <w:p>
      <w:pPr>
        <w:pStyle w:val="BlockText"/>
      </w:pPr>
      <w:r>
        <w:rPr>
          <w:b/>
          <w:bCs/>
        </w:rPr>
        <w:t xml:space="preserve">Definizione di famiglia</w:t>
      </w:r>
      <w:r>
        <w:t xml:space="preserve">: alert generati dalle regole + metriche operative dell’AI stessa.</w:t>
      </w:r>
    </w:p>
    <w:bookmarkStart w:id="74" w:name="alert-singolo-segnale"/>
    <w:p>
      <w:pPr>
        <w:pStyle w:val="Heading2"/>
      </w:pPr>
      <w:r>
        <w:t xml:space="preserve">10.1 Alert (singolo segnale)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Un evento che ha superato una soglia o una regola.</w:t>
      </w:r>
    </w:p>
    <w:p>
      <w:pPr>
        <w:pStyle w:val="BodyText"/>
      </w:pPr>
      <w:r>
        <w:rPr>
          <w:b/>
          <w:bCs/>
        </w:rPr>
        <w:t xml:space="preserve">Tipi.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— deviazione KPI (es. permessi YoY &lt; -5%)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— nuovo progetto flagged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— news ad alta rilevanza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competitor</w:t>
      </w:r>
      <w:r>
        <w:t xml:space="preserve"> </w:t>
      </w:r>
      <w:r>
        <w:t xml:space="preserve">— mossa competitor</w:t>
      </w:r>
    </w:p>
    <w:p>
      <w:pPr>
        <w:pStyle w:val="BodyText"/>
      </w:pPr>
      <w:r>
        <w:rPr>
          <w:b/>
          <w:bCs/>
        </w:rPr>
        <w:t xml:space="preserve">Severity.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(score ≥ 0.85)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(0.65–0.84)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(&lt; 0.65, non surfacato di default)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t xml:space="preserve">Sintesi da gold + agenti A3/A1/A2/A6.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Alerts inbox, badge sidebar.</w:t>
      </w:r>
    </w:p>
    <w:p>
      <w:r>
        <w:pict>
          <v:rect style="width:0;height:1.5pt" o:hralign="center" o:hrstd="t" o:hr="t"/>
        </w:pict>
      </w:r>
    </w:p>
    <w:bookmarkEnd w:id="74"/>
    <w:bookmarkStart w:id="75" w:name="alert-confidence"/>
    <w:p>
      <w:pPr>
        <w:pStyle w:val="Heading2"/>
      </w:pPr>
      <w:r>
        <w:t xml:space="preserve">10.2 Alert Confidence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Confidenza dell’agente nella validità dell’alert.</w:t>
      </w:r>
    </w:p>
    <w:p>
      <w:pPr>
        <w:pStyle w:val="BodyText"/>
      </w:pPr>
      <w:r>
        <w:rPr>
          <w:b/>
          <w:bCs/>
        </w:rPr>
        <w:t xml:space="preserve">Calcolo.</w:t>
      </w:r>
      <w:r>
        <w:t xml:space="preserve"> </w:t>
      </w:r>
      <w:r>
        <w:t xml:space="preserve">Per alert KPI = confidence della regola; per news = relevance_score; per project = funzione di capex+flagged.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Derivato.</w:t>
      </w:r>
    </w:p>
    <w:p>
      <w:r>
        <w:pict>
          <v:rect style="width:0;height:1.5pt" o:hralign="center" o:hrstd="t" o:hr="t"/>
        </w:pict>
      </w:r>
    </w:p>
    <w:bookmarkEnd w:id="75"/>
    <w:bookmarkStart w:id="76" w:name="unread-alerts"/>
    <w:p>
      <w:pPr>
        <w:pStyle w:val="Heading2"/>
      </w:pPr>
      <w:r>
        <w:t xml:space="preserve">10.3 Unread Alerts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Numero alert non letti dall’utente corrente.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t xml:space="preserve">Runtime per-user state.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Badge sidebar, dashboard chip.</w:t>
      </w:r>
    </w:p>
    <w:p>
      <w:r>
        <w:pict>
          <v:rect style="width:0;height:1.5pt" o:hralign="center" o:hrstd="t" o:hr="t"/>
        </w:pict>
      </w:r>
    </w:p>
    <w:bookmarkEnd w:id="76"/>
    <w:bookmarkStart w:id="77" w:name="Xd8ce35db5156d88622d8f3c3d6d6b05eba60797"/>
    <w:p>
      <w:pPr>
        <w:pStyle w:val="Heading2"/>
      </w:pPr>
      <w:r>
        <w:t xml:space="preserve">10.4 Review Queue Status counts (Draft / Validated / Rejected / Published)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Quanti item AI sono in ciascuno stato del workflow HITL.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rPr>
          <w:rStyle w:val="VerbatimChar"/>
        </w:rPr>
        <w:t xml:space="preserve">audit.review_decisions</w:t>
      </w:r>
      <w:r>
        <w:t xml:space="preserve"> </w:t>
      </w:r>
      <w:r>
        <w:t xml:space="preserve">+ count item gold senza decision (= draft).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Review Queue stat pills, dashboard.</w:t>
      </w:r>
    </w:p>
    <w:p>
      <w:r>
        <w:pict>
          <v:rect style="width:0;height:1.5pt" o:hralign="center" o:hrstd="t" o:hr="t"/>
        </w:pict>
      </w:r>
    </w:p>
    <w:bookmarkEnd w:id="77"/>
    <w:bookmarkStart w:id="78" w:name="ai-confidence-score-per-item"/>
    <w:p>
      <w:pPr>
        <w:pStyle w:val="Heading2"/>
      </w:pPr>
      <w:r>
        <w:t xml:space="preserve">10.5 AI Confidence Score (per item)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Quanto l’agente è confidente sul singolo item prodotto.</w:t>
      </w:r>
    </w:p>
    <w:p>
      <w:pPr>
        <w:pStyle w:val="BodyText"/>
      </w:pPr>
      <w:r>
        <w:rPr>
          <w:b/>
          <w:bCs/>
        </w:rPr>
        <w:t xml:space="preserve">Calcolo (Phase 1).</w:t>
      </w:r>
    </w:p>
    <w:p>
      <w:pPr>
        <w:pStyle w:val="SourceCode"/>
      </w:pPr>
      <w:r>
        <w:rPr>
          <w:rStyle w:val="VerbatimChar"/>
        </w:rPr>
        <w:t xml:space="preserve">confidence = 0.4 * source_reliability</w:t>
      </w:r>
      <w:r>
        <w:br/>
      </w:r>
      <w:r>
        <w:rPr>
          <w:rStyle w:val="VerbatimChar"/>
        </w:rPr>
        <w:t xml:space="preserve">           + 0.3 * extraction_certainty (LLM self-reported, calibrato)</w:t>
      </w:r>
      <w:r>
        <w:br/>
      </w:r>
      <w:r>
        <w:rPr>
          <w:rStyle w:val="VerbatimChar"/>
        </w:rPr>
        <w:t xml:space="preserve">           + 0.2 * consistency_check (cross-source agreement)</w:t>
      </w:r>
      <w:r>
        <w:br/>
      </w:r>
      <w:r>
        <w:rPr>
          <w:rStyle w:val="VerbatimChar"/>
        </w:rPr>
        <w:t xml:space="preserve">           + 0.1 * recency</w:t>
      </w:r>
    </w:p>
    <w:p>
      <w:pPr>
        <w:pStyle w:val="FirstParagraph"/>
      </w:pPr>
      <w:r>
        <w:rPr>
          <w:b/>
          <w:bCs/>
        </w:rPr>
        <w:t xml:space="preserve">Fonte.</w:t>
      </w:r>
      <w:r>
        <w:t xml:space="preserve"> </w:t>
      </w:r>
      <w:r>
        <w:t xml:space="preserve">Calcolato da agente, scritto in</w:t>
      </w:r>
      <w:r>
        <w:t xml:space="preserve"> </w:t>
      </w:r>
      <w:r>
        <w:rPr>
          <w:rStyle w:val="VerbatimChar"/>
        </w:rPr>
        <w:t xml:space="preserve">audit.evidence_metadata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avg-ai-confidence-dashboard-kpi"/>
    <w:p>
      <w:pPr>
        <w:pStyle w:val="Heading2"/>
      </w:pPr>
      <w:r>
        <w:t xml:space="preserve">10.6 Avg AI Confidence (dashboard KPI)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Media del confidence score su tutti gli AI outputs di un periodo.</w:t>
      </w:r>
    </w:p>
    <w:p>
      <w:pPr>
        <w:pStyle w:val="BodyText"/>
      </w:pPr>
      <w:r>
        <w:rPr>
          <w:b/>
          <w:bCs/>
        </w:rPr>
        <w:t xml:space="preserve">Calcolo.</w:t>
      </w:r>
    </w:p>
    <w:p>
      <w:pPr>
        <w:pStyle w:val="SourceCode"/>
      </w:pPr>
      <w:r>
        <w:rPr>
          <w:rStyle w:val="VerbatimChar"/>
        </w:rPr>
        <w:t xml:space="preserve">avg_confidence = AVG(audit.evidence_metadata.confidence_score) over 7d</w:t>
      </w:r>
    </w:p>
    <w:p>
      <w:pPr>
        <w:pStyle w:val="FirstParagraph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Dashboard → KPI tile</w:t>
      </w:r>
      <w:r>
        <w:t xml:space="preserve"> </w:t>
      </w:r>
      <w:r>
        <w:t xml:space="preserve">“AI confidence”</w:t>
      </w:r>
      <w:r>
        <w:t xml:space="preserve"> </w:t>
      </w:r>
      <w:r>
        <w:t xml:space="preserve">(92% nel demo).</w:t>
      </w:r>
    </w:p>
    <w:p>
      <w:r>
        <w:pict>
          <v:rect style="width:0;height:1.5pt" o:hralign="center" o:hrstd="t" o:hr="t"/>
        </w:pict>
      </w:r>
    </w:p>
    <w:bookmarkEnd w:id="79"/>
    <w:bookmarkStart w:id="80" w:name="agent-health-kpis-per-agent"/>
    <w:p>
      <w:pPr>
        <w:pStyle w:val="Heading2"/>
      </w:pPr>
      <w:r>
        <w:t xml:space="preserve">10.7 Agent Health KPIs (per agent)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Cosa misura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agents count</w:t>
            </w:r>
          </w:p>
        </w:tc>
        <w:tc>
          <w:tcPr/>
          <w:p>
            <w:pPr>
              <w:pStyle w:val="Compact"/>
            </w:pPr>
            <w:r>
              <w:t xml:space="preserve">Quanti agenti running su 6 totali</w:t>
            </w:r>
          </w:p>
        </w:tc>
        <w:tc>
          <w:tcPr/>
          <w:p>
            <w:pPr>
              <w:pStyle w:val="Compact"/>
            </w:pPr>
            <w:r>
              <w:t xml:space="preserve">Derivato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runs (7d)</w:t>
            </w:r>
          </w:p>
        </w:tc>
        <w:tc>
          <w:tcPr/>
          <w:p>
            <w:pPr>
              <w:pStyle w:val="Compact"/>
            </w:pPr>
            <w:r>
              <w:t xml:space="preserve">Esecuzioni totali in 7 giorni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audit.agent_runs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Items written back</w:t>
            </w:r>
          </w:p>
        </w:tc>
        <w:tc>
          <w:tcPr/>
          <w:p>
            <w:pPr>
              <w:pStyle w:val="Compact"/>
            </w:pPr>
            <w:r>
              <w:t xml:space="preserve">Numero output prodotti dagli agenti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audit.agent_runs.items_produced</w:t>
            </w:r>
            <w:r>
              <w:t xml:space="preserve"> </w:t>
            </w:r>
            <w:r>
              <w:t xml:space="preserve">somma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feedback score</w:t>
            </w:r>
          </w:p>
        </w:tc>
        <w:tc>
          <w:tcPr/>
          <w:p>
            <w:pPr>
              <w:pStyle w:val="Compact"/>
            </w:pPr>
            <w:r>
              <w:t xml:space="preserve">% di item validati dalla MI</w:t>
            </w:r>
          </w:p>
        </w:tc>
        <w:tc>
          <w:tcPr/>
          <w:p>
            <w:pPr>
              <w:pStyle w:val="Compact"/>
            </w:pPr>
            <w:r>
              <w:t xml:space="preserve">Derivato da</w:t>
            </w:r>
            <w:r>
              <w:t xml:space="preserve"> </w:t>
            </w:r>
            <w:r>
              <w:rPr>
                <w:rStyle w:val="VerbatimChar"/>
              </w:rPr>
              <w:t xml:space="preserve">audit.review_decisions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run latency</w:t>
            </w:r>
          </w:p>
        </w:tc>
        <w:tc>
          <w:tcPr/>
          <w:p>
            <w:pPr>
              <w:pStyle w:val="Compact"/>
            </w:pPr>
            <w:r>
              <w:t xml:space="preserve">Tempo esecuzione ultima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audit.agent_runs.latency_ms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run status</w:t>
            </w:r>
          </w:p>
        </w:tc>
        <w:tc>
          <w:tcPr/>
          <w:p>
            <w:pPr>
              <w:pStyle w:val="Compact"/>
            </w:pPr>
            <w:r>
              <w:t xml:space="preserve">success / partial / error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Cron string corrente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 count</w:t>
            </w:r>
          </w:p>
        </w:tc>
        <w:tc>
          <w:tcPr/>
          <w:p>
            <w:pPr>
              <w:pStyle w:val="Compact"/>
            </w:pPr>
            <w:r>
              <w:t xml:space="preserve">Totale storico runs</w:t>
            </w:r>
          </w:p>
        </w:tc>
        <w:tc>
          <w:tcPr/>
          <w:p>
            <w:pPr>
              <w:pStyle w:val="Compact"/>
            </w:pPr>
            <w:r>
              <w:t xml:space="preserve">Count audit.agent_runs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Agents Control Center page.</w:t>
      </w:r>
    </w:p>
    <w:p>
      <w:r>
        <w:pict>
          <v:rect style="width:0;height:1.5pt" o:hralign="center" o:hrstd="t" o:hr="t"/>
        </w:pict>
      </w:r>
    </w:p>
    <w:bookmarkEnd w:id="80"/>
    <w:bookmarkStart w:id="81" w:name="todays-ai-brief-banner-narrativo"/>
    <w:p>
      <w:pPr>
        <w:pStyle w:val="Heading2"/>
      </w:pPr>
      <w:r>
        <w:t xml:space="preserve">10.8 Today’s AI Brief (banner narrativo)</w:t>
      </w:r>
    </w:p>
    <w:p>
      <w:pPr>
        <w:pStyle w:val="FirstParagraph"/>
      </w:pPr>
      <w:r>
        <w:rPr>
          <w:b/>
          <w:bCs/>
        </w:rPr>
        <w:t xml:space="preserve">Cosa misura.</w:t>
      </w:r>
      <w:r>
        <w:t xml:space="preserve"> </w:t>
      </w:r>
      <w:r>
        <w:t xml:space="preserve">Sintesi quotidiana in linguaggio naturale.</w:t>
      </w:r>
    </w:p>
    <w:p>
      <w:pPr>
        <w:pStyle w:val="BodyText"/>
      </w:pPr>
      <w:r>
        <w:rPr>
          <w:b/>
          <w:bCs/>
        </w:rPr>
        <w:t xml:space="preserve">Calcolo.</w:t>
      </w:r>
      <w:r>
        <w:t xml:space="preserve"> </w:t>
      </w:r>
      <w:r>
        <w:t xml:space="preserve">Template che incorpora: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newsCount</w:t>
      </w:r>
      <w:r>
        <w:t xml:space="preserve"> </w:t>
      </w:r>
      <w:r>
        <w:t xml:space="preserve">(count news_curated)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projectsTotal</w:t>
      </w:r>
      <w:r>
        <w:t xml:space="preserve"> </w:t>
      </w:r>
      <w:r>
        <w:t xml:space="preserve">(count mining_projects)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flaggedCount</w:t>
      </w:r>
      <w:r>
        <w:t xml:space="preserve"> </w:t>
      </w:r>
      <w:r>
        <w:t xml:space="preserve">(count flagged projects)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draftsCount</w:t>
      </w:r>
      <w:r>
        <w:t xml:space="preserve"> </w:t>
      </w:r>
      <w:r>
        <w:t xml:space="preserve">(count review_queue draft)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highAlerts</w:t>
      </w:r>
      <w:r>
        <w:t xml:space="preserve"> </w:t>
      </w:r>
      <w:r>
        <w:t xml:space="preserve">(count alerts high severity)</w:t>
      </w:r>
      <w:r>
        <w:t xml:space="preserve"> </w:t>
      </w:r>
      <w:r>
        <w:t xml:space="preserve">- frase chiusura sul commodity (placeholder)</w:t>
      </w:r>
    </w:p>
    <w:p>
      <w:pPr>
        <w:pStyle w:val="BodyText"/>
      </w:pPr>
      <w:r>
        <w:rPr>
          <w:b/>
          <w:bCs/>
        </w:rPr>
        <w:t xml:space="preserve">Fonte.</w:t>
      </w:r>
      <w:r>
        <w:t xml:space="preserve"> </w:t>
      </w:r>
      <w:r>
        <w:t xml:space="preserve">Derivato da tutti i counter sopra.</w:t>
      </w:r>
    </w:p>
    <w:p>
      <w:pPr>
        <w:pStyle w:val="BodyText"/>
      </w:pPr>
      <w:r>
        <w:rPr>
          <w:b/>
          <w:bCs/>
        </w:rPr>
        <w:t xml:space="preserve">Dove appare.</w:t>
      </w:r>
      <w:r>
        <w:t xml:space="preserve"> </w:t>
      </w:r>
      <w:r>
        <w:t xml:space="preserve">Dashboard → hero AI Brief banner.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15053f2c22b129389508db04ef16d3e78c49b18"/>
    <w:p>
      <w:pPr>
        <w:pStyle w:val="Heading1"/>
      </w:pPr>
      <w:r>
        <w:t xml:space="preserve">11. Riepilogo: matrice sorgenti × KPI (cheat sheet)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INT-SAP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INT-SFDC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INT-MAN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EXT-A6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by Customer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Sales by 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Market Value by Customer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 of Wallet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 Tier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 Opportunities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Annual Revenue (customer)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 Number / Type /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Price / Moving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Stock per plant / Lead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Volume YTD (material)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(anagrafica)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CAPEX estimate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Capacity (MW)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Cable Demand Estimate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Flagged of Interest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Pipeline analytics aggregate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Hyperscaler Projects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Project Share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Construction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Residential / Non-Residential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Building Permits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Copper Price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Interest Rates / FX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Cable Demand Nowcast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Seasonality 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News Item / Relevance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Competitive Moves / Intensity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Policy / Regulatory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 Trends (Swift)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 (KPI)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 (Project)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 (Competitor)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(Customer)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 (News)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Confidence (per item)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Health (run stats)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Queue 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AI Brief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derivato</w:t>
            </w:r>
          </w:p>
        </w:tc>
      </w:tr>
    </w:tbl>
    <w:p>
      <w:pPr>
        <w:pStyle w:val="BodyText"/>
      </w:pPr>
      <w:r>
        <w:t xml:space="preserve">Legenda: ●●● fonte primaria · ●● fonte secondaria/arricchimento · ● fonte di fallback · ○ fonte manuale ammessa solo in assenza di altro</w:t>
      </w:r>
    </w:p>
    <w:p>
      <w:r>
        <w:pict>
          <v:rect style="width:0;height:1.5pt" o:hralign="center" o:hrstd="t" o:hr="t"/>
        </w:pict>
      </w:r>
    </w:p>
    <w:bookmarkEnd w:id="83"/>
    <w:bookmarkStart w:id="84" w:name="Xd21f9f697007c5885fa4cfd2efb23c8a612ec3e"/>
    <w:p>
      <w:pPr>
        <w:pStyle w:val="Heading1"/>
      </w:pPr>
      <w:r>
        <w:t xml:space="preserve">12. Quanti KPI sono in mano agli agenti vs interni?</w:t>
      </w:r>
    </w:p>
    <w:p>
      <w:pPr>
        <w:pStyle w:val="FirstParagraph"/>
      </w:pPr>
      <w:r>
        <w:rPr>
          <w:b/>
          <w:bCs/>
        </w:rPr>
        <w:t xml:space="preserve">Sintesi numerica</w:t>
      </w:r>
      <w:r>
        <w:t xml:space="preserve"> </w:t>
      </w:r>
      <w:r>
        <w:t xml:space="preserve">(sulla base della tabella sopra):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Famiglia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KPI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 interno (SAP/SFDC)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 agenti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Commerciali (cliente)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(Market Value, Annual Revenue)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Prodotto/SAP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progetti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(Cable Demand uses A1 + INT-MAN ratios; Flagged uses A1 + INT-MAN priority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Macro/economici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Competitivi / News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(derivati da audit)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~ 35 KPI su 63 totali (≈ 55%) sono alimentati dai 6 agenti AI</w:t>
      </w:r>
      <w:r>
        <w:t xml:space="preserve">, in particolare:</w:t>
      </w:r>
      <w:r>
        <w:t xml:space="preserve"> </w:t>
      </w:r>
      <w:r>
        <w:t xml:space="preserve">- A1 Project Scouting alimenta da solo ~ 17 KPI (tutta la pipeline)</w:t>
      </w:r>
      <w:r>
        <w:t xml:space="preserve"> </w:t>
      </w:r>
      <w:r>
        <w:t xml:space="preserve">- A3 KPI Alerts alimenta ~ 10 KPI (tutto il macro)</w:t>
      </w:r>
      <w:r>
        <w:t xml:space="preserve"> </w:t>
      </w:r>
      <w:r>
        <w:t xml:space="preserve">- A2 News Finder + A6 Competitor + A5 Customer copertura intelligence qualitativa</w:t>
      </w:r>
      <w:r>
        <w:t xml:space="preserve"> </w:t>
      </w:r>
      <w:r>
        <w:t xml:space="preserve">- A4 Swift Finder è il più</w:t>
      </w:r>
      <w:r>
        <w:t xml:space="preserve"> </w:t>
      </w:r>
      <w:r>
        <w:t xml:space="preserve">“nicchia”</w:t>
      </w:r>
      <w:r>
        <w:t xml:space="preserve"> </w:t>
      </w:r>
      <w:r>
        <w:t xml:space="preserve">— solo trend tech</w:t>
      </w:r>
    </w:p>
    <w:p>
      <w:pPr>
        <w:pStyle w:val="BodyText"/>
      </w:pPr>
      <w:r>
        <w:t xml:space="preserve">I restanti</w:t>
      </w:r>
      <w:r>
        <w:t xml:space="preserve"> </w:t>
      </w:r>
      <w:r>
        <w:rPr>
          <w:b/>
          <w:bCs/>
        </w:rPr>
        <w:t xml:space="preserve">~28 KPI (45%) richiedono integrazione interna SAP + Salesforce</w:t>
      </w:r>
      <w:r>
        <w:t xml:space="preserve"> </w:t>
      </w:r>
      <w:r>
        <w:t xml:space="preserve">— è il</w:t>
      </w:r>
      <w:r>
        <w:t xml:space="preserve"> </w:t>
      </w:r>
      <w:r>
        <w:t xml:space="preserve">“necessary plumbing”</w:t>
      </w:r>
      <w:r>
        <w:t xml:space="preserve"> </w:t>
      </w:r>
      <w:r>
        <w:t xml:space="preserve">senza cui il Hub resta solo intelligence esterna.</w:t>
      </w:r>
    </w:p>
    <w:p>
      <w:r>
        <w:pict>
          <v:rect style="width:0;height:1.5pt" o:hralign="center" o:hrstd="t" o:hr="t"/>
        </w:pict>
      </w:r>
    </w:p>
    <w:bookmarkEnd w:id="84"/>
    <w:bookmarkStart w:id="85" w:name="roadmap-di-alimentazione-dei-kpi"/>
    <w:p>
      <w:pPr>
        <w:pStyle w:val="Heading1"/>
      </w:pPr>
      <w:r>
        <w:t xml:space="preserve">13. Roadmap di alimentazione dei KPI</w:t>
      </w:r>
    </w:p>
    <w:p>
      <w:pPr>
        <w:pStyle w:val="FirstParagraph"/>
      </w:pPr>
      <w:r>
        <w:t xml:space="preserve">Per onestà di pianificazione, indichiamo il</w:t>
      </w:r>
      <w:r>
        <w:t xml:space="preserve"> </w:t>
      </w:r>
      <w:r>
        <w:rPr>
          <w:b/>
          <w:bCs/>
        </w:rPr>
        <w:t xml:space="preserve">path realistico</w:t>
      </w:r>
      <w:r>
        <w:t xml:space="preserve"> </w:t>
      </w:r>
      <w:r>
        <w:t xml:space="preserve">per popolare ciascuna famiglia: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Famiglia</w:t>
            </w:r>
          </w:p>
        </w:tc>
        <w:tc>
          <w:tcPr/>
          <w:p>
            <w:pPr>
              <w:pStyle w:val="Compact"/>
            </w:pPr>
            <w:r>
              <w:t xml:space="preserve">MVP (demo)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Commerciali</w:t>
            </w:r>
          </w:p>
        </w:tc>
        <w:tc>
          <w:tcPr/>
          <w:p>
            <w:pPr>
              <w:pStyle w:val="Compact"/>
            </w:pPr>
            <w:r>
              <w:t xml:space="preserve">Manual seed CSV</w:t>
            </w:r>
          </w:p>
        </w:tc>
        <w:tc>
          <w:tcPr/>
          <w:p>
            <w:pPr>
              <w:pStyle w:val="Compact"/>
            </w:pPr>
            <w:r>
              <w:t xml:space="preserve">SFDC + SAP integration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Prodotto/SAP</w:t>
            </w:r>
          </w:p>
        </w:tc>
        <w:tc>
          <w:tcPr/>
          <w:p>
            <w:pPr>
              <w:pStyle w:val="Compact"/>
            </w:pPr>
            <w:r>
              <w:t xml:space="preserve">Synthetic deterministic</w:t>
            </w:r>
          </w:p>
        </w:tc>
        <w:tc>
          <w:tcPr/>
          <w:p>
            <w:pPr>
              <w:pStyle w:val="Compact"/>
            </w:pPr>
            <w:r>
              <w:t xml:space="preserve">SAP BAPI batch nightly</w:t>
            </w:r>
          </w:p>
        </w:tc>
        <w:tc>
          <w:tcPr/>
          <w:p>
            <w:pPr>
              <w:pStyle w:val="Compact"/>
            </w:pPr>
            <w:r>
              <w:t xml:space="preserve">SAP real-time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progetti</w:t>
            </w:r>
          </w:p>
        </w:tc>
        <w:tc>
          <w:tcPr/>
          <w:p>
            <w:pPr>
              <w:pStyle w:val="Compact"/>
            </w:pPr>
            <w:r>
              <w:t xml:space="preserve">Agent A1 (impl) + seed</w:t>
            </w:r>
          </w:p>
        </w:tc>
        <w:tc>
          <w:tcPr/>
          <w:p>
            <w:pPr>
              <w:pStyle w:val="Compact"/>
            </w:pPr>
            <w:r>
              <w:t xml:space="preserve">A1 production + Eurelectric/GIE feed</w:t>
            </w:r>
          </w:p>
        </w:tc>
        <w:tc>
          <w:tcPr/>
          <w:p>
            <w:pPr>
              <w:pStyle w:val="Compact"/>
            </w:pPr>
            <w:r>
              <w:t xml:space="preserve">+ abbonamenti CRU/WoodMac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Macro/economici</w:t>
            </w:r>
          </w:p>
        </w:tc>
        <w:tc>
          <w:tcPr/>
          <w:p>
            <w:pPr>
              <w:pStyle w:val="Compact"/>
            </w:pPr>
            <w:r>
              <w:t xml:space="preserve">Hardcoded series</w:t>
            </w:r>
          </w:p>
        </w:tc>
        <w:tc>
          <w:tcPr/>
          <w:p>
            <w:pPr>
              <w:pStyle w:val="Compact"/>
            </w:pPr>
            <w:r>
              <w:t xml:space="preserve">Agent A3 implemented + Eurostat API</w:t>
            </w:r>
          </w:p>
        </w:tc>
        <w:tc>
          <w:tcPr/>
          <w:p>
            <w:pPr>
              <w:pStyle w:val="Compact"/>
            </w:pPr>
            <w:r>
              <w:t xml:space="preserve">+ multiple data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Competitivi</w:t>
            </w:r>
          </w:p>
        </w:tc>
        <w:tc>
          <w:tcPr/>
          <w:p>
            <w:pPr>
              <w:pStyle w:val="Compact"/>
            </w:pPr>
            <w:r>
              <w:t xml:space="preserve">Hardcoded events</w:t>
            </w:r>
          </w:p>
        </w:tc>
        <w:tc>
          <w:tcPr/>
          <w:p>
            <w:pPr>
              <w:pStyle w:val="Compact"/>
            </w:pPr>
            <w:r>
              <w:t xml:space="preserve">Agent A6 implemented</w:t>
            </w:r>
          </w:p>
        </w:tc>
        <w:tc>
          <w:tcPr/>
          <w:p>
            <w:pPr>
              <w:pStyle w:val="Compact"/>
            </w:pPr>
            <w:r>
              <w:t xml:space="preserve">+ Bloomberg/Refinitiv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Agent A2 (impl)</w:t>
            </w:r>
          </w:p>
        </w:tc>
        <w:tc>
          <w:tcPr/>
          <w:p>
            <w:pPr>
              <w:pStyle w:val="Compact"/>
            </w:pPr>
            <w:r>
              <w:t xml:space="preserve">Production scale</w:t>
            </w:r>
          </w:p>
        </w:tc>
        <w:tc>
          <w:tcPr/>
          <w:p>
            <w:pPr>
              <w:pStyle w:val="Compact"/>
            </w:pPr>
            <w:r>
              <w:t xml:space="preserve">+ paid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AI/system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+ cost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95c3ae0edcbb9c713fd7bcf1d1554c303b77dcc"/>
    <w:p>
      <w:pPr>
        <w:pStyle w:val="Heading1"/>
      </w:pPr>
      <w:r>
        <w:t xml:space="preserve">14. Glossario sorgenti pubbliche e abbonamenti citati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Sorgente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Cosa fornisce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Eurostat</w:t>
            </w:r>
          </w:p>
        </w:tc>
        <w:tc>
          <w:tcPr/>
          <w:p>
            <w:pPr>
              <w:pStyle w:val="Compact"/>
            </w:pPr>
            <w:r>
              <w:t xml:space="preserve">API pubblica</w:t>
            </w:r>
          </w:p>
        </w:tc>
        <w:tc>
          <w:tcPr/>
          <w:p>
            <w:pPr>
              <w:pStyle w:val="Compact"/>
            </w:pPr>
            <w:r>
              <w:t xml:space="preserve">KPI macro EU armonizzati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Istat / INSEE / Destatis / INE / CBS</w:t>
            </w:r>
          </w:p>
        </w:tc>
        <w:tc>
          <w:tcPr/>
          <w:p>
            <w:pPr>
              <w:pStyle w:val="Compact"/>
            </w:pPr>
            <w:r>
              <w:t xml:space="preserve">API pubbliche nazionali</w:t>
            </w:r>
          </w:p>
        </w:tc>
        <w:tc>
          <w:tcPr/>
          <w:p>
            <w:pPr>
              <w:pStyle w:val="Compact"/>
            </w:pPr>
            <w:r>
              <w:t xml:space="preserve">KPI specifici per paese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LME</w:t>
            </w:r>
          </w:p>
        </w:tc>
        <w:tc>
          <w:tcPr/>
          <w:p>
            <w:pPr>
              <w:pStyle w:val="Compact"/>
            </w:pPr>
            <w:r>
              <w:t xml:space="preserve">API pagamento</w:t>
            </w:r>
          </w:p>
        </w:tc>
        <w:tc>
          <w:tcPr/>
          <w:p>
            <w:pPr>
              <w:pStyle w:val="Compact"/>
            </w:pPr>
            <w:r>
              <w:t xml:space="preserve">Prezzi metalli (rame, alluminio)</w:t>
            </w:r>
          </w:p>
        </w:tc>
        <w:tc>
          <w:tcPr/>
          <w:p>
            <w:pPr>
              <w:pStyle w:val="Compact"/>
            </w:pPr>
            <w:r>
              <w:t xml:space="preserve">~$1k-10k/anno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S&amp;P Global PMI / Market Intelligence</w:t>
            </w:r>
          </w:p>
        </w:tc>
        <w:tc>
          <w:tcPr/>
          <w:p>
            <w:pPr>
              <w:pStyle w:val="Compact"/>
            </w:pPr>
            <w:r>
              <w:t xml:space="preserve">API abbonamento</w:t>
            </w:r>
          </w:p>
        </w:tc>
        <w:tc>
          <w:tcPr/>
          <w:p>
            <w:pPr>
              <w:pStyle w:val="Compact"/>
            </w:pPr>
            <w:r>
              <w:t xml:space="preserve">PMI mondiale + mining DB</w:t>
            </w:r>
          </w:p>
        </w:tc>
        <w:tc>
          <w:tcPr/>
          <w:p>
            <w:pPr>
              <w:pStyle w:val="Compact"/>
            </w:pPr>
            <w:r>
              <w:t xml:space="preserve">$10k-100k+/anno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BloombergNEF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Energy projects DB</w:t>
            </w:r>
          </w:p>
        </w:tc>
        <w:tc>
          <w:tcPr/>
          <w:p>
            <w:pPr>
              <w:pStyle w:val="Compact"/>
            </w:pPr>
            <w:r>
              <w:t xml:space="preserve">$20k+/anno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Wood Mackenzie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Mining + energy projects</w:t>
            </w:r>
          </w:p>
        </w:tc>
        <w:tc>
          <w:tcPr/>
          <w:p>
            <w:pPr>
              <w:pStyle w:val="Compact"/>
            </w:pPr>
            <w:r>
              <w:t xml:space="preserve">$50k+/anno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Mining + metals analytics</w:t>
            </w:r>
          </w:p>
        </w:tc>
        <w:tc>
          <w:tcPr/>
          <w:p>
            <w:pPr>
              <w:pStyle w:val="Compact"/>
            </w:pPr>
            <w:r>
              <w:t xml:space="preserve">$30k+/anno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Reuters / Bloomberg terminal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News e dati finanziari</w:t>
            </w:r>
          </w:p>
        </w:tc>
        <w:tc>
          <w:tcPr/>
          <w:p>
            <w:pPr>
              <w:pStyle w:val="Compact"/>
            </w:pPr>
            <w:r>
              <w:t xml:space="preserve">$24k/seat/anno (Bberg)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mining.com</w:t>
            </w:r>
          </w:p>
        </w:tc>
        <w:tc>
          <w:tcPr/>
          <w:p>
            <w:pPr>
              <w:pStyle w:val="Compact"/>
            </w:pPr>
            <w:r>
              <w:t xml:space="preserve">RSS gratis</w:t>
            </w:r>
          </w:p>
        </w:tc>
        <w:tc>
          <w:tcPr/>
          <w:p>
            <w:pPr>
              <w:pStyle w:val="Compact"/>
            </w:pPr>
            <w:r>
              <w:t xml:space="preserve">News mining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Trading Economics</w:t>
            </w:r>
          </w:p>
        </w:tc>
        <w:tc>
          <w:tcPr/>
          <w:p>
            <w:pPr>
              <w:pStyle w:val="Compact"/>
            </w:pPr>
            <w:r>
              <w:t xml:space="preserve">API mista</w:t>
            </w:r>
          </w:p>
        </w:tc>
        <w:tc>
          <w:tcPr/>
          <w:p>
            <w:pPr>
              <w:pStyle w:val="Compact"/>
            </w:pPr>
            <w:r>
              <w:t xml:space="preserve">Aggregatore KPI + commodities</w:t>
            </w:r>
          </w:p>
        </w:tc>
        <w:tc>
          <w:tcPr/>
          <w:p>
            <w:pPr>
              <w:pStyle w:val="Compact"/>
            </w:pPr>
            <w:r>
              <w:t xml:space="preserve">$1k-10k/anno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News RSS</w:t>
            </w:r>
          </w:p>
        </w:tc>
        <w:tc>
          <w:tcPr/>
          <w:p>
            <w:pPr>
              <w:pStyle w:val="Compact"/>
            </w:pPr>
            <w:r>
              <w:t xml:space="preserve">API gratis</w:t>
            </w:r>
          </w:p>
        </w:tc>
        <w:tc>
          <w:tcPr/>
          <w:p>
            <w:pPr>
              <w:pStyle w:val="Compact"/>
            </w:pPr>
            <w:r>
              <w:t xml:space="preserve">Aggregatore news per keyword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D&amp;B / ZoomInfo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Enrichment account (revenue, employees)</w:t>
            </w:r>
          </w:p>
        </w:tc>
        <w:tc>
          <w:tcPr/>
          <w:p>
            <w:pPr>
              <w:pStyle w:val="Compact"/>
            </w:pPr>
            <w:r>
              <w:t xml:space="preserve">$20k+/anno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Dataminr / Factiva</w:t>
            </w:r>
          </w:p>
        </w:tc>
        <w:tc>
          <w:tcPr/>
          <w:p>
            <w:pPr>
              <w:pStyle w:val="Compact"/>
            </w:pPr>
            <w:r>
              <w:t xml:space="preserve">Abbonamento</w:t>
            </w:r>
          </w:p>
        </w:tc>
        <w:tc>
          <w:tcPr/>
          <w:p>
            <w:pPr>
              <w:pStyle w:val="Compact"/>
            </w:pPr>
            <w:r>
              <w:t xml:space="preserve">News intelligence real-time</w:t>
            </w:r>
          </w:p>
        </w:tc>
        <w:tc>
          <w:tcPr/>
          <w:p>
            <w:pPr>
              <w:pStyle w:val="Compact"/>
            </w:pPr>
            <w:r>
              <w:t xml:space="preserve">$30k+/anno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 Byte / Datacenter Knowledge</w:t>
            </w:r>
          </w:p>
        </w:tc>
        <w:tc>
          <w:tcPr/>
          <w:p>
            <w:pPr>
              <w:pStyle w:val="Compact"/>
            </w:pPr>
            <w:r>
              <w:t xml:space="preserve">Abbonamento + free</w:t>
            </w:r>
          </w:p>
        </w:tc>
        <w:tc>
          <w:tcPr/>
          <w:p>
            <w:pPr>
              <w:pStyle w:val="Compact"/>
            </w:pPr>
            <w:r>
              <w:t xml:space="preserve">DB datacenter</w:t>
            </w:r>
          </w:p>
        </w:tc>
        <w:tc>
          <w:tcPr/>
          <w:p>
            <w:pPr>
              <w:pStyle w:val="Compac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IRENA / IEA</w:t>
            </w:r>
          </w:p>
        </w:tc>
        <w:tc>
          <w:tcPr/>
          <w:p>
            <w:pPr>
              <w:pStyle w:val="Compact"/>
            </w:pPr>
            <w:r>
              <w:t xml:space="preserve">API gratis</w:t>
            </w:r>
          </w:p>
        </w:tc>
        <w:tc>
          <w:tcPr/>
          <w:p>
            <w:pPr>
              <w:pStyle w:val="Compact"/>
            </w:pPr>
            <w:r>
              <w:t xml:space="preserve">KPI rinnovabili globali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ENTSO-E TYNDP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EU grid projects 10-year plan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cosa-fare-se-un-kpi-mostra-o-phase-2"/>
    <w:p>
      <w:pPr>
        <w:pStyle w:val="Heading1"/>
      </w:pPr>
      <w:r>
        <w:t xml:space="preserve">15. Cosa fare se un KPI mostra</w:t>
      </w:r>
      <w:r>
        <w:t xml:space="preserve"> </w:t>
      </w:r>
      <w:r>
        <w:t xml:space="preserve">“—”</w:t>
      </w:r>
      <w:r>
        <w:t xml:space="preserve"> </w:t>
      </w:r>
      <w:r>
        <w:t xml:space="preserve">o</w:t>
      </w:r>
      <w:r>
        <w:t xml:space="preserve"> </w:t>
      </w:r>
      <w:r>
        <w:t xml:space="preserve">“Phase 2”</w:t>
      </w:r>
      <w:r>
        <w:t xml:space="preserve">?</w:t>
      </w:r>
    </w:p>
    <w:p>
      <w:pPr>
        <w:pStyle w:val="FirstParagraph"/>
      </w:pPr>
      <w:r>
        <w:t xml:space="preserve">Nel demo molti KPI sono visibili ma popolati con dati seed o sintetici. La regola di lettura: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Indicatore visuale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  <w:tc>
          <w:tcPr/>
          <w:p>
            <w:pPr>
              <w:pStyle w:val="Compact"/>
            </w:pPr>
            <w:r>
              <w:t xml:space="preserve">Cosa serve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  <w:r>
              <w:t xml:space="preserve"> </w:t>
            </w:r>
            <w:r>
              <w:rPr>
                <w:rStyle w:val="VerbatimChar"/>
              </w:rPr>
              <w:t xml:space="preserve">P2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KPI definito ma non ancora attivo</w:t>
            </w:r>
          </w:p>
        </w:tc>
        <w:tc>
          <w:tcPr/>
          <w:p>
            <w:pPr>
              <w:pStyle w:val="Compact"/>
            </w:pPr>
            <w:r>
              <w:t xml:space="preserve">implementazione agente o integrazione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Stringa</w:t>
            </w:r>
            <w:r>
              <w:t xml:space="preserve"> </w:t>
            </w:r>
            <w:r>
              <w:rPr>
                <w:rStyle w:val="VerbatimChar"/>
              </w:rPr>
              <w:t xml:space="preserve">Demo view</w:t>
            </w:r>
            <w:r>
              <w:t xml:space="preserve"> </w:t>
            </w:r>
            <w:r>
              <w:t xml:space="preserve">in footer</w:t>
            </w:r>
          </w:p>
        </w:tc>
        <w:tc>
          <w:tcPr/>
          <w:p>
            <w:pPr>
              <w:pStyle w:val="Compact"/>
            </w:pPr>
            <w:r>
              <w:t xml:space="preserve">Dati deterministici dal nome</w:t>
            </w:r>
          </w:p>
        </w:tc>
        <w:tc>
          <w:tcPr/>
          <w:p>
            <w:pPr>
              <w:pStyle w:val="Compact"/>
            </w:pPr>
            <w:r>
              <w:t xml:space="preserve">API SAP/Salesforce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come data source</w:t>
            </w:r>
          </w:p>
        </w:tc>
        <w:tc>
          <w:tcPr/>
          <w:p>
            <w:pPr>
              <w:pStyle w:val="Compact"/>
            </w:pPr>
            <w:r>
              <w:t xml:space="preserve">Dati da CSV iniziale</w:t>
            </w:r>
          </w:p>
        </w:tc>
        <w:tc>
          <w:tcPr/>
          <w:p>
            <w:pPr>
              <w:pStyle w:val="Compact"/>
            </w:pPr>
            <w:r>
              <w:t xml:space="preserve">Agent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come data source</w:t>
            </w:r>
          </w:p>
        </w:tc>
        <w:tc>
          <w:tcPr/>
          <w:p>
            <w:pPr>
              <w:pStyle w:val="Compact"/>
            </w:pPr>
            <w:r>
              <w:t xml:space="preserve">Dati prodotti da agente reale</w:t>
            </w:r>
          </w:p>
        </w:tc>
        <w:tc>
          <w:tcPr/>
          <w:p>
            <w:pPr>
              <w:pStyle w:val="Compact"/>
            </w:pPr>
            <w:r>
              <w:t xml:space="preserve">OK, attivo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applicato ma valori invariati</w:t>
            </w:r>
          </w:p>
        </w:tc>
        <w:tc>
          <w:tcPr/>
          <w:p>
            <w:pPr>
              <w:pStyle w:val="Compact"/>
            </w:pPr>
            <w:r>
              <w:t xml:space="preserve">UI del filtro pronta, logica server da implementare</w:t>
            </w:r>
          </w:p>
        </w:tc>
        <w:tc>
          <w:tcPr/>
          <w:p>
            <w:pPr>
              <w:pStyle w:val="Compact"/>
            </w:pPr>
            <w:r>
              <w:t xml:space="preserve">Query filter param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sintesi-finale-per-chi-ha-letto-fino-qui"/>
    <w:p>
      <w:pPr>
        <w:pStyle w:val="Heading1"/>
      </w:pPr>
      <w:r>
        <w:t xml:space="preserve">16. Sintesi finale per chi ha letto fino qui</w:t>
      </w:r>
    </w:p>
    <w:p>
      <w:pPr>
        <w:pStyle w:val="FirstParagraph"/>
      </w:pPr>
      <w:r>
        <w:t xml:space="preserve">In sintesi grossolana, il Hub ha 3 fonti di dati che concorrono a 6 famiglie di KPI: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┌──────────────┐</w:t>
      </w:r>
      <w:r>
        <w:br/>
      </w:r>
      <w:r>
        <w:rPr>
          <w:rStyle w:val="VerbatimChar"/>
        </w:rPr>
        <w:t xml:space="preserve">                     │ FONTI INTERNE│</w:t>
      </w:r>
      <w:r>
        <w:br/>
      </w:r>
      <w:r>
        <w:rPr>
          <w:rStyle w:val="VerbatimChar"/>
        </w:rPr>
        <w:t xml:space="preserve">   SAP (ERP) ────────│  - Vendite   │</w:t>
      </w:r>
      <w:r>
        <w:br/>
      </w:r>
      <w:r>
        <w:rPr>
          <w:rStyle w:val="VerbatimChar"/>
        </w:rPr>
        <w:t xml:space="preserve">   Salesforce (CRM)──│  - Materiali │──┐</w:t>
      </w:r>
      <w:r>
        <w:br/>
      </w:r>
      <w:r>
        <w:rPr>
          <w:rStyle w:val="VerbatimChar"/>
        </w:rPr>
        <w:t xml:space="preserve">   Input manuali ────│  - Stime MI  │  │</w:t>
      </w:r>
      <w:r>
        <w:br/>
      </w:r>
      <w:r>
        <w:rPr>
          <w:rStyle w:val="VerbatimChar"/>
        </w:rPr>
        <w:t xml:space="preserve">                     └──────────────┘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┌───────────┐</w:t>
      </w:r>
      <w:r>
        <w:br/>
      </w:r>
      <w:r>
        <w:rPr>
          <w:rStyle w:val="VerbatimChar"/>
        </w:rPr>
        <w:t xml:space="preserve">                                 │  KPI Hub  │</w:t>
      </w:r>
      <w:r>
        <w:br/>
      </w:r>
      <w:r>
        <w:rPr>
          <w:rStyle w:val="VerbatimChar"/>
        </w:rPr>
        <w:t xml:space="preserve">                                 │ (gold +   │</w:t>
      </w:r>
      <w:r>
        <w:br/>
      </w:r>
      <w:r>
        <w:rPr>
          <w:rStyle w:val="VerbatimChar"/>
        </w:rPr>
        <w:t xml:space="preserve">                                 │  derived) │</w:t>
      </w:r>
      <w:r>
        <w:br/>
      </w:r>
      <w:r>
        <w:rPr>
          <w:rStyle w:val="VerbatimChar"/>
        </w:rPr>
        <w:t xml:space="preserve">                                       ▲</w:t>
      </w:r>
      <w:r>
        <w:br/>
      </w:r>
      <w:r>
        <w:rPr>
          <w:rStyle w:val="VerbatimChar"/>
        </w:rPr>
        <w:t xml:space="preserve">                     ┌──────────────┐  │</w:t>
      </w:r>
      <w:r>
        <w:br/>
      </w:r>
      <w:r>
        <w:rPr>
          <w:rStyle w:val="VerbatimChar"/>
        </w:rPr>
        <w:t xml:space="preserve">                     │ AGENTI AI    │  │</w:t>
      </w:r>
      <w:r>
        <w:br/>
      </w:r>
      <w:r>
        <w:rPr>
          <w:rStyle w:val="VerbatimChar"/>
        </w:rPr>
        <w:t xml:space="preserve">   News web ─────────│ A1 Scouting  │  │</w:t>
      </w:r>
      <w:r>
        <w:br/>
      </w:r>
      <w:r>
        <w:rPr>
          <w:rStyle w:val="VerbatimChar"/>
        </w:rPr>
        <w:t xml:space="preserve">   Macro DB ─────────│ A2 News      │──┘</w:t>
      </w:r>
      <w:r>
        <w:br/>
      </w:r>
      <w:r>
        <w:rPr>
          <w:rStyle w:val="VerbatimChar"/>
        </w:rPr>
        <w:t xml:space="preserve">   Competitor news ──│ A3 KPI       │</w:t>
      </w:r>
      <w:r>
        <w:br/>
      </w:r>
      <w:r>
        <w:rPr>
          <w:rStyle w:val="VerbatimChar"/>
        </w:rPr>
        <w:t xml:space="preserve">   Customer feeds ───│ A4 Swift     │</w:t>
      </w:r>
      <w:r>
        <w:br/>
      </w:r>
      <w:r>
        <w:rPr>
          <w:rStyle w:val="VerbatimChar"/>
        </w:rPr>
        <w:t xml:space="preserve">   Mining DB ────────│ A5 Customer  │</w:t>
      </w:r>
      <w:r>
        <w:br/>
      </w:r>
      <w:r>
        <w:rPr>
          <w:rStyle w:val="VerbatimChar"/>
        </w:rPr>
        <w:t xml:space="preserve">                     │ A6 Competit. │</w:t>
      </w:r>
      <w:r>
        <w:br/>
      </w:r>
      <w:r>
        <w:rPr>
          <w:rStyle w:val="VerbatimChar"/>
        </w:rPr>
        <w:t xml:space="preserve">   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Il 45% dei KPI viene dall’interno</w:t>
      </w:r>
      <w:r>
        <w:t xml:space="preserve"> </w:t>
      </w:r>
      <w:r>
        <w:t xml:space="preserve">(SAP + SFDC) — è la base</w:t>
      </w:r>
      <w:r>
        <w:t xml:space="preserve"> </w:t>
      </w:r>
      <w:r>
        <w:t xml:space="preserve">“ferma”</w:t>
      </w:r>
      <w:r>
        <w:t xml:space="preserve"> </w:t>
      </w:r>
      <w:r>
        <w:t xml:space="preserve">del Hub.</w:t>
      </w:r>
      <w:r>
        <w:t xml:space="preserve"> </w:t>
      </w:r>
      <w:r>
        <w:rPr>
          <w:b/>
          <w:bCs/>
        </w:rPr>
        <w:t xml:space="preserve">Il 55% viene dagli agenti AI</w:t>
      </w:r>
      <w:r>
        <w:t xml:space="preserve"> </w:t>
      </w:r>
      <w:r>
        <w:t xml:space="preserve">— è il valore aggiunto del progetto.</w:t>
      </w:r>
      <w:r>
        <w:t xml:space="preserve"> </w:t>
      </w:r>
      <w:r>
        <w:rPr>
          <w:b/>
          <w:bCs/>
        </w:rPr>
        <w:t xml:space="preserve">Le due metà si incontrano nel calcolo</w:t>
      </w:r>
      <w:r>
        <w:t xml:space="preserve"> </w:t>
      </w:r>
      <w:r>
        <w:t xml:space="preserve">(es. SoW = vendite SAP / mercato stimato dagli agenti) — questa è la fusione che rende il Hub</w:t>
      </w:r>
      <w:r>
        <w:t xml:space="preserve"> </w:t>
      </w:r>
      <w:r>
        <w:t xml:space="preserve">“intelligente”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EY for Prysmian Group — KPI Catalog · May 2026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Intelligence Hub — Catalogo KPI</dc:title>
  <dc:creator>EY for Prysmian Group</dc:creator>
  <cp:keywords/>
  <dcterms:created xsi:type="dcterms:W3CDTF">2026-05-14T13:25:23Z</dcterms:created>
  <dcterms:modified xsi:type="dcterms:W3CDTF">2026-05-14T13:25:23Z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Cosa misurano, da dove arrivano i dati, quali agenti li alimentano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