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CA6" w:rsidRDefault="00B51CA6" w:rsidP="00B51CA6">
      <w:pPr>
        <w:jc w:val="center"/>
        <w:rPr>
          <w:rFonts w:ascii="Arial" w:hAnsi="Arial" w:cs="Arial"/>
          <w:b/>
          <w:i/>
          <w:sz w:val="24"/>
          <w:szCs w:val="24"/>
          <w:u w:val="single"/>
        </w:rPr>
      </w:pPr>
      <w:bookmarkStart w:id="0" w:name="_GoBack"/>
      <w:bookmarkEnd w:id="0"/>
    </w:p>
    <w:p w:rsidR="0029193F" w:rsidRPr="00B51CA6" w:rsidRDefault="00CA5D5B" w:rsidP="00B51CA6">
      <w:pPr>
        <w:jc w:val="center"/>
        <w:rPr>
          <w:rFonts w:ascii="Arial" w:hAnsi="Arial" w:cs="Arial"/>
          <w:b/>
          <w:i/>
          <w:sz w:val="24"/>
          <w:szCs w:val="24"/>
          <w:u w:val="single"/>
        </w:rPr>
      </w:pPr>
      <w:r w:rsidRPr="00B51CA6">
        <w:rPr>
          <w:rFonts w:ascii="Arial" w:hAnsi="Arial" w:cs="Arial"/>
          <w:b/>
          <w:i/>
          <w:sz w:val="24"/>
          <w:szCs w:val="24"/>
          <w:u w:val="single"/>
        </w:rPr>
        <w:t>Tesis</w:t>
      </w:r>
    </w:p>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Moretti, Gladis Noemí. </w:t>
      </w:r>
      <w:r w:rsidRPr="005D1312">
        <w:rPr>
          <w:rFonts w:ascii="Arial" w:eastAsia="Times New Roman" w:hAnsi="Arial" w:cs="Arial"/>
          <w:b/>
          <w:sz w:val="20"/>
          <w:szCs w:val="20"/>
          <w:u w:val="single"/>
        </w:rPr>
        <w:t>Relación entre la morfología de los dermatoglifos dactilares humanos con el estado de salud gingivo-periodontal en adultos</w:t>
      </w:r>
      <w:r w:rsidRPr="005D1312">
        <w:rPr>
          <w:rFonts w:ascii="Arial" w:eastAsia="Times New Roman" w:hAnsi="Arial" w:cs="Arial"/>
          <w:sz w:val="20"/>
          <w:szCs w:val="20"/>
        </w:rPr>
        <w:t>. La Plata; s.n; 2009. 72 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Universidad Católica de La Plata. Facultad de Odontología para obtención del grado de Doctor. </w:t>
            </w:r>
          </w:p>
        </w:tc>
      </w:tr>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La enfermedad periodontal es una de las afecciones más frecuentes del ser humano. Se conoce su origen multifactorial, en el que el factor genético se considera no modificable. Las configuraciones </w:t>
            </w:r>
            <w:r w:rsidR="00E54B19" w:rsidRPr="001513C0">
              <w:rPr>
                <w:rFonts w:ascii="Arial" w:eastAsia="Times New Roman" w:hAnsi="Arial" w:cs="Arial"/>
                <w:sz w:val="20"/>
                <w:szCs w:val="20"/>
              </w:rPr>
              <w:t>dermatológicas</w:t>
            </w:r>
            <w:r w:rsidRPr="001513C0">
              <w:rPr>
                <w:rFonts w:ascii="Arial" w:eastAsia="Times New Roman" w:hAnsi="Arial" w:cs="Arial"/>
                <w:sz w:val="20"/>
                <w:szCs w:val="20"/>
              </w:rPr>
              <w:t xml:space="preserve"> </w:t>
            </w:r>
            <w:r w:rsidR="007847DA" w:rsidRPr="001513C0">
              <w:rPr>
                <w:rFonts w:ascii="Arial" w:eastAsia="Times New Roman" w:hAnsi="Arial" w:cs="Arial"/>
                <w:sz w:val="20"/>
                <w:szCs w:val="20"/>
              </w:rPr>
              <w:t>están</w:t>
            </w:r>
            <w:r w:rsidRPr="001513C0">
              <w:rPr>
                <w:rFonts w:ascii="Arial" w:eastAsia="Times New Roman" w:hAnsi="Arial" w:cs="Arial"/>
                <w:sz w:val="20"/>
                <w:szCs w:val="20"/>
              </w:rPr>
              <w:t xml:space="preserve"> determinadas genéticamente, ya han sido estudiadas como marcadores de varias enfermedades de origen genético. En el presente trabajo se evaluaron las huellas dactilares de pacientes p</w:t>
            </w:r>
            <w:r w:rsidR="007847DA">
              <w:rPr>
                <w:rFonts w:ascii="Arial" w:eastAsia="Times New Roman" w:hAnsi="Arial" w:cs="Arial"/>
                <w:sz w:val="20"/>
                <w:szCs w:val="20"/>
              </w:rPr>
              <w:t>eriodontalmente sanos y enferm</w:t>
            </w:r>
            <w:r w:rsidRPr="001513C0">
              <w:rPr>
                <w:rFonts w:ascii="Arial" w:eastAsia="Times New Roman" w:hAnsi="Arial" w:cs="Arial"/>
                <w:sz w:val="20"/>
                <w:szCs w:val="20"/>
              </w:rPr>
              <w:t xml:space="preserve">os, para </w:t>
            </w:r>
            <w:r w:rsidR="007847DA" w:rsidRPr="001513C0">
              <w:rPr>
                <w:rFonts w:ascii="Arial" w:eastAsia="Times New Roman" w:hAnsi="Arial" w:cs="Arial"/>
                <w:sz w:val="20"/>
                <w:szCs w:val="20"/>
              </w:rPr>
              <w:t>establecer</w:t>
            </w:r>
            <w:r w:rsidRPr="001513C0">
              <w:rPr>
                <w:rFonts w:ascii="Arial" w:eastAsia="Times New Roman" w:hAnsi="Arial" w:cs="Arial"/>
                <w:sz w:val="20"/>
                <w:szCs w:val="20"/>
              </w:rPr>
              <w:t xml:space="preserve"> la posibilidad de asociar ambas situaciones, con el objeto de utilizar </w:t>
            </w:r>
            <w:r w:rsidR="007847DA" w:rsidRPr="001513C0">
              <w:rPr>
                <w:rFonts w:ascii="Arial" w:eastAsia="Times New Roman" w:hAnsi="Arial" w:cs="Arial"/>
                <w:sz w:val="20"/>
                <w:szCs w:val="20"/>
              </w:rPr>
              <w:t>las huellas</w:t>
            </w:r>
            <w:r w:rsidRPr="001513C0">
              <w:rPr>
                <w:rFonts w:ascii="Arial" w:eastAsia="Times New Roman" w:hAnsi="Arial" w:cs="Arial"/>
                <w:sz w:val="20"/>
                <w:szCs w:val="20"/>
              </w:rPr>
              <w:t xml:space="preserve"> dactilares como marcadores genéticos de enfermedad periodontal. Se estudiaron las huellas dactilares de 203 pacientes 138 mujeres y 64 hombres), determinando su estado de salud general, huellas dactilares y estado de salud periodontal (CPTIN). Se observaron diferencias en las formas de las huellas entre sanos y enfermos. En los pacientes con enfermedad periodontal se detectó una disminución de los arcos en un 7% y de las presillas en un 14%. Contrariamente, se produjo un aumento de los verticilos en un 23%, cuando fueron comparados con los pacientes sanos. El conteo de crestas mostró una ligera disminución en el grupo enfermo. A pesar de los hallazgos expuestos, serán necesarios más estudios para poder utilizar esta característica antropológica, única e invariable en el tiempo, como marcado genético de enfermedad periodontal. (AU) - es </w:t>
            </w:r>
          </w:p>
        </w:tc>
      </w:tr>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Mapeo Peptídico</w:t>
            </w:r>
            <w:r w:rsidRPr="001513C0">
              <w:rPr>
                <w:rFonts w:ascii="Arial" w:eastAsia="Times New Roman" w:hAnsi="Arial" w:cs="Arial"/>
                <w:sz w:val="20"/>
                <w:szCs w:val="20"/>
              </w:rPr>
              <w:br/>
              <w:t>Enfermedades Periodontales</w:t>
            </w:r>
            <w:r w:rsidRPr="001513C0">
              <w:rPr>
                <w:rFonts w:ascii="Arial" w:eastAsia="Times New Roman" w:hAnsi="Arial" w:cs="Arial"/>
                <w:sz w:val="20"/>
                <w:szCs w:val="20"/>
              </w:rPr>
              <w:br/>
              <w:t>Fenómenos Genéticos</w:t>
            </w:r>
          </w:p>
        </w:tc>
      </w:tr>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Límites: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Humanos</w:t>
            </w:r>
          </w:p>
        </w:tc>
      </w:tr>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D05 Tesis 7 1936 </w:t>
            </w:r>
          </w:p>
        </w:tc>
      </w:tr>
      <w:tr w:rsidR="001513C0" w:rsidRPr="001513C0" w:rsidT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María Inés Urrutia </w:t>
            </w:r>
          </w:p>
        </w:tc>
      </w:tr>
      <w:tr w:rsidR="00140EBF" w:rsidRPr="001513C0" w:rsidTr="001513C0">
        <w:trPr>
          <w:tblCellSpacing w:w="15" w:type="dxa"/>
        </w:trPr>
        <w:tc>
          <w:tcPr>
            <w:tcW w:w="850" w:type="pct"/>
            <w:noWrap/>
          </w:tcPr>
          <w:p w:rsidR="00140EBF" w:rsidRPr="001513C0" w:rsidRDefault="00140EBF" w:rsidP="001513C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4150" w:type="pct"/>
          </w:tcPr>
          <w:p w:rsidR="00140EBF" w:rsidRDefault="00140EBF" w:rsidP="001513C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1513C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1513C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Default="001513C0" w:rsidP="005D1312">
      <w:pPr>
        <w:tabs>
          <w:tab w:val="left" w:pos="2032"/>
        </w:tabs>
        <w:spacing w:after="0" w:line="240" w:lineRule="auto"/>
        <w:jc w:val="both"/>
      </w:pPr>
    </w:p>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Caramagna, Dante Germán. </w:t>
      </w:r>
      <w:r w:rsidRPr="005D1312">
        <w:rPr>
          <w:rFonts w:ascii="Arial" w:eastAsia="Times New Roman" w:hAnsi="Arial" w:cs="Arial"/>
          <w:b/>
          <w:sz w:val="20"/>
          <w:szCs w:val="20"/>
          <w:u w:val="single"/>
        </w:rPr>
        <w:t>Estudio odontoantropológico de enfermedades gingivoperiodontales en una población rural de la provincia de Catamarca</w:t>
      </w:r>
      <w:r w:rsidRPr="005D1312">
        <w:rPr>
          <w:rFonts w:ascii="Arial" w:eastAsia="Times New Roman" w:hAnsi="Arial" w:cs="Arial"/>
          <w:sz w:val="20"/>
          <w:szCs w:val="20"/>
        </w:rPr>
        <w:t xml:space="preserve">.  La Plata; s.n; 2009. 105 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Pr>
                <w:rFonts w:ascii="Arial" w:eastAsia="Times New Roman" w:hAnsi="Arial" w:cs="Arial"/>
                <w:b/>
                <w:bCs/>
                <w:sz w:val="20"/>
                <w:szCs w:val="20"/>
              </w:rPr>
              <w:t>T</w:t>
            </w:r>
            <w:r w:rsidRPr="001513C0">
              <w:rPr>
                <w:rFonts w:ascii="Arial" w:eastAsia="Times New Roman" w:hAnsi="Arial" w:cs="Arial"/>
                <w:b/>
                <w:bCs/>
                <w:sz w:val="20"/>
                <w:szCs w:val="20"/>
              </w:rPr>
              <w:t xml:space="preserve">rabajo Académico: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Universidad Católica de La plata. Facultad de Odontología para obtención del grado de Doctor.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Las </w:t>
            </w:r>
            <w:r w:rsidR="007847DA" w:rsidRPr="001513C0">
              <w:rPr>
                <w:rFonts w:ascii="Arial" w:eastAsia="Times New Roman" w:hAnsi="Arial" w:cs="Arial"/>
                <w:sz w:val="20"/>
                <w:szCs w:val="20"/>
              </w:rPr>
              <w:t>enfermedades</w:t>
            </w:r>
            <w:r w:rsidRPr="001513C0">
              <w:rPr>
                <w:rFonts w:ascii="Arial" w:eastAsia="Times New Roman" w:hAnsi="Arial" w:cs="Arial"/>
                <w:sz w:val="20"/>
                <w:szCs w:val="20"/>
              </w:rPr>
              <w:t xml:space="preserve"> gingivo-periodontales pertenecen al tipo de las multifactoriales, necesitando un </w:t>
            </w:r>
            <w:r w:rsidR="007847DA" w:rsidRPr="001513C0">
              <w:rPr>
                <w:rFonts w:ascii="Arial" w:eastAsia="Times New Roman" w:hAnsi="Arial" w:cs="Arial"/>
                <w:sz w:val="20"/>
                <w:szCs w:val="20"/>
              </w:rPr>
              <w:t>umbral</w:t>
            </w:r>
            <w:r w:rsidRPr="001513C0">
              <w:rPr>
                <w:rFonts w:ascii="Arial" w:eastAsia="Times New Roman" w:hAnsi="Arial" w:cs="Arial"/>
                <w:sz w:val="20"/>
                <w:szCs w:val="20"/>
              </w:rPr>
              <w:t xml:space="preserve"> de bacterias como condición necesaria para desarrollarse; posteriormente se </w:t>
            </w:r>
            <w:r w:rsidR="007847DA" w:rsidRPr="001513C0">
              <w:rPr>
                <w:rFonts w:ascii="Arial" w:eastAsia="Times New Roman" w:hAnsi="Arial" w:cs="Arial"/>
                <w:sz w:val="20"/>
                <w:szCs w:val="20"/>
              </w:rPr>
              <w:t>provocó</w:t>
            </w:r>
            <w:r w:rsidRPr="001513C0">
              <w:rPr>
                <w:rFonts w:ascii="Arial" w:eastAsia="Times New Roman" w:hAnsi="Arial" w:cs="Arial"/>
                <w:sz w:val="20"/>
                <w:szCs w:val="20"/>
              </w:rPr>
              <w:t xml:space="preserve"> una reacción inmune que puede dañar los tejidos del área. Esta evolución de la enfermedad está mediada y condicionada por los llamados factores de </w:t>
            </w:r>
            <w:r w:rsidR="007847DA" w:rsidRPr="001513C0">
              <w:rPr>
                <w:rFonts w:ascii="Arial" w:eastAsia="Times New Roman" w:hAnsi="Arial" w:cs="Arial"/>
                <w:sz w:val="20"/>
                <w:szCs w:val="20"/>
              </w:rPr>
              <w:t>riesgo, tanto interno como externo</w:t>
            </w:r>
            <w:r w:rsidRPr="001513C0">
              <w:rPr>
                <w:rFonts w:ascii="Arial" w:eastAsia="Times New Roman" w:hAnsi="Arial" w:cs="Arial"/>
                <w:sz w:val="20"/>
                <w:szCs w:val="20"/>
              </w:rPr>
              <w:t xml:space="preserve"> al organismo. En este sentido es que nos proponemos evaluar la salud gingivo-periodontal de una población aplicando un modelo socio-ecológico que integre los resultados presentes en la </w:t>
            </w:r>
            <w:r w:rsidR="007847DA" w:rsidRPr="001513C0">
              <w:rPr>
                <w:rFonts w:ascii="Arial" w:eastAsia="Times New Roman" w:hAnsi="Arial" w:cs="Arial"/>
                <w:sz w:val="20"/>
                <w:szCs w:val="20"/>
              </w:rPr>
              <w:t>población</w:t>
            </w:r>
            <w:r w:rsidRPr="001513C0">
              <w:rPr>
                <w:rFonts w:ascii="Arial" w:eastAsia="Times New Roman" w:hAnsi="Arial" w:cs="Arial"/>
                <w:sz w:val="20"/>
                <w:szCs w:val="20"/>
              </w:rPr>
              <w:t xml:space="preserve">. Por otra parte, a fin de establecer los </w:t>
            </w:r>
            <w:r w:rsidRPr="001513C0">
              <w:rPr>
                <w:rFonts w:ascii="Arial" w:eastAsia="Times New Roman" w:hAnsi="Arial" w:cs="Arial"/>
                <w:sz w:val="20"/>
                <w:szCs w:val="20"/>
              </w:rPr>
              <w:lastRenderedPageBreak/>
              <w:t xml:space="preserve">cambios </w:t>
            </w:r>
            <w:r w:rsidR="007847DA" w:rsidRPr="001513C0">
              <w:rPr>
                <w:rFonts w:ascii="Arial" w:eastAsia="Times New Roman" w:hAnsi="Arial" w:cs="Arial"/>
                <w:sz w:val="20"/>
                <w:szCs w:val="20"/>
              </w:rPr>
              <w:t>ocurridos</w:t>
            </w:r>
            <w:r w:rsidRPr="001513C0">
              <w:rPr>
                <w:rFonts w:ascii="Arial" w:eastAsia="Times New Roman" w:hAnsi="Arial" w:cs="Arial"/>
                <w:sz w:val="20"/>
                <w:szCs w:val="20"/>
              </w:rPr>
              <w:t xml:space="preserve"> en el tiempo, se compararon los resultados de la muestra actual con una ser</w:t>
            </w:r>
            <w:r w:rsidR="00E54B19">
              <w:rPr>
                <w:rFonts w:ascii="Arial" w:eastAsia="Times New Roman" w:hAnsi="Arial" w:cs="Arial"/>
                <w:sz w:val="20"/>
                <w:szCs w:val="20"/>
              </w:rPr>
              <w:t>i</w:t>
            </w:r>
            <w:r w:rsidRPr="001513C0">
              <w:rPr>
                <w:rFonts w:ascii="Arial" w:eastAsia="Times New Roman" w:hAnsi="Arial" w:cs="Arial"/>
                <w:sz w:val="20"/>
                <w:szCs w:val="20"/>
              </w:rPr>
              <w:t xml:space="preserve">e de cráneos de épocas prehispánicas </w:t>
            </w:r>
            <w:r w:rsidR="00E54B19" w:rsidRPr="001513C0">
              <w:rPr>
                <w:rFonts w:ascii="Arial" w:eastAsia="Times New Roman" w:hAnsi="Arial" w:cs="Arial"/>
                <w:sz w:val="20"/>
                <w:szCs w:val="20"/>
              </w:rPr>
              <w:t>procedentes</w:t>
            </w:r>
            <w:r w:rsidRPr="001513C0">
              <w:rPr>
                <w:rFonts w:ascii="Arial" w:eastAsia="Times New Roman" w:hAnsi="Arial" w:cs="Arial"/>
                <w:sz w:val="20"/>
                <w:szCs w:val="20"/>
              </w:rPr>
              <w:t xml:space="preserve"> de la misma región. La población en este estudio se encuentra en la localizad rural de Azampay, provincia de Catamarca. Se determinaron diversos índices indicadores de salud gingo-periodontal, a la vez que se realizaron encuestas individuales para determinar la presencia de factores de riesgo. Los resultados indicaron la presencia de enfermedad gingivo-periodontal en toda la muestra, pero que no llega a transformarse en una periodontitis severa de tipo destructiva. </w:t>
            </w:r>
            <w:r w:rsidR="00E54B19" w:rsidRPr="001513C0">
              <w:rPr>
                <w:rFonts w:ascii="Arial" w:eastAsia="Times New Roman" w:hAnsi="Arial" w:cs="Arial"/>
                <w:sz w:val="20"/>
                <w:szCs w:val="20"/>
              </w:rPr>
              <w:t>La</w:t>
            </w:r>
            <w:r w:rsidRPr="001513C0">
              <w:rPr>
                <w:rFonts w:ascii="Arial" w:eastAsia="Times New Roman" w:hAnsi="Arial" w:cs="Arial"/>
                <w:sz w:val="20"/>
                <w:szCs w:val="20"/>
              </w:rPr>
              <w:t xml:space="preserve"> poca incidencia de algunos factores de riesgo, principalmente el alcohol y el tabaco, podrían ser la causa para este desarrollo particular de las lesiones. Las diferencias entre ambas muestras se deberían a las diferencias entre los hábitos en el cuidado e higiene bucal podrían estar provocando la </w:t>
            </w:r>
            <w:r w:rsidR="00E54B19" w:rsidRPr="001513C0">
              <w:rPr>
                <w:rFonts w:ascii="Arial" w:eastAsia="Times New Roman" w:hAnsi="Arial" w:cs="Arial"/>
                <w:sz w:val="20"/>
                <w:szCs w:val="20"/>
              </w:rPr>
              <w:t>aparición</w:t>
            </w:r>
            <w:r w:rsidRPr="001513C0">
              <w:rPr>
                <w:rFonts w:ascii="Arial" w:eastAsia="Times New Roman" w:hAnsi="Arial" w:cs="Arial"/>
                <w:sz w:val="20"/>
                <w:szCs w:val="20"/>
              </w:rPr>
              <w:t xml:space="preserve"> de enfermedades gingivo-periodontales, la escasa exposición a </w:t>
            </w:r>
            <w:r w:rsidR="00E54B19" w:rsidRPr="001513C0">
              <w:rPr>
                <w:rFonts w:ascii="Arial" w:eastAsia="Times New Roman" w:hAnsi="Arial" w:cs="Arial"/>
                <w:sz w:val="20"/>
                <w:szCs w:val="20"/>
              </w:rPr>
              <w:t>factores</w:t>
            </w:r>
            <w:r w:rsidRPr="001513C0">
              <w:rPr>
                <w:rFonts w:ascii="Arial" w:eastAsia="Times New Roman" w:hAnsi="Arial" w:cs="Arial"/>
                <w:sz w:val="20"/>
                <w:szCs w:val="20"/>
              </w:rPr>
              <w:t xml:space="preserve"> de riesgo como el alcohol, el tabaco y las enfermedades sistémicas estarían manteniendo el nivel de dicha patología en un </w:t>
            </w:r>
            <w:r w:rsidR="00E54B19" w:rsidRPr="001513C0">
              <w:rPr>
                <w:rFonts w:ascii="Arial" w:eastAsia="Times New Roman" w:hAnsi="Arial" w:cs="Arial"/>
                <w:sz w:val="20"/>
                <w:szCs w:val="20"/>
              </w:rPr>
              <w:t>estadio</w:t>
            </w:r>
            <w:r w:rsidRPr="001513C0">
              <w:rPr>
                <w:rFonts w:ascii="Arial" w:eastAsia="Times New Roman" w:hAnsi="Arial" w:cs="Arial"/>
                <w:sz w:val="20"/>
                <w:szCs w:val="20"/>
              </w:rPr>
              <w:t xml:space="preserve"> moderado - es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lastRenderedPageBreak/>
              <w:t xml:space="preserve">Descriptores: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Antropología</w:t>
            </w:r>
            <w:r w:rsidRPr="001513C0">
              <w:rPr>
                <w:rFonts w:ascii="Arial" w:eastAsia="Times New Roman" w:hAnsi="Arial" w:cs="Arial"/>
                <w:sz w:val="20"/>
                <w:szCs w:val="20"/>
              </w:rPr>
              <w:br/>
              <w:t>Enfermedades de las Encías</w:t>
            </w:r>
            <w:r w:rsidRPr="001513C0">
              <w:rPr>
                <w:rFonts w:ascii="Arial" w:eastAsia="Times New Roman" w:hAnsi="Arial" w:cs="Arial"/>
                <w:sz w:val="20"/>
                <w:szCs w:val="20"/>
              </w:rPr>
              <w:br/>
              <w:t>Enfermedades Periodontales</w:t>
            </w:r>
            <w:r w:rsidRPr="001513C0">
              <w:rPr>
                <w:rFonts w:ascii="Arial" w:eastAsia="Times New Roman" w:hAnsi="Arial" w:cs="Arial"/>
                <w:sz w:val="20"/>
                <w:szCs w:val="20"/>
              </w:rPr>
              <w:br/>
              <w:t>Población Rural</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Límites: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Humanos</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D05 Tesis 6 1937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Caramagna, Dante Germán </w:t>
            </w:r>
          </w:p>
        </w:tc>
      </w:tr>
      <w:tr w:rsidR="00140EBF" w:rsidRPr="001513C0" w:rsidTr="00140EBF">
        <w:trPr>
          <w:tblCellSpacing w:w="15" w:type="dxa"/>
        </w:trPr>
        <w:tc>
          <w:tcPr>
            <w:tcW w:w="1142"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805"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Pr="005D1312" w:rsidRDefault="001513C0" w:rsidP="005D1312">
      <w:pPr>
        <w:tabs>
          <w:tab w:val="left" w:pos="2032"/>
        </w:tabs>
        <w:spacing w:after="0" w:line="240" w:lineRule="auto"/>
        <w:ind w:left="360"/>
        <w:jc w:val="both"/>
        <w:rPr>
          <w:rFonts w:ascii="Arial" w:eastAsia="Times New Roman" w:hAnsi="Arial" w:cs="Arial"/>
          <w:sz w:val="20"/>
          <w:szCs w:val="20"/>
        </w:rPr>
      </w:pPr>
    </w:p>
    <w:p w:rsidR="00CA5D5B" w:rsidRDefault="00CA5D5B" w:rsidP="005D1312">
      <w:pPr>
        <w:tabs>
          <w:tab w:val="left" w:pos="2032"/>
        </w:tabs>
        <w:spacing w:after="0" w:line="240" w:lineRule="auto"/>
        <w:ind w:left="45"/>
        <w:jc w:val="both"/>
        <w:rPr>
          <w:rFonts w:ascii="Arial" w:eastAsia="Times New Roman" w:hAnsi="Arial" w:cs="Arial"/>
          <w:sz w:val="20"/>
          <w:szCs w:val="20"/>
        </w:rPr>
      </w:pPr>
    </w:p>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Michelena, Graciela L. </w:t>
      </w:r>
      <w:r w:rsidRPr="005D1312">
        <w:rPr>
          <w:rFonts w:ascii="Arial" w:eastAsia="Times New Roman" w:hAnsi="Arial" w:cs="Arial"/>
          <w:b/>
          <w:sz w:val="20"/>
          <w:szCs w:val="20"/>
          <w:u w:val="single"/>
        </w:rPr>
        <w:t>Efecto antiséptico del hidróxido de calcio como medicación temporaria sobre flora microbiana endodóntica: estudio in vitro</w:t>
      </w:r>
      <w:r w:rsidRPr="005D1312">
        <w:rPr>
          <w:rFonts w:ascii="Arial" w:eastAsia="Times New Roman" w:hAnsi="Arial" w:cs="Arial"/>
          <w:sz w:val="20"/>
          <w:szCs w:val="20"/>
        </w:rPr>
        <w:t>.  La Plata; s.n; 2009. 152 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2"/>
        <w:gridCol w:w="6472"/>
      </w:tblGrid>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Universidad Católica de La plata. Facultad de Odontología para obtención del grado de Doctor. </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Durante muchos años se dio a las sustancias químicas colocadas como medicación temporal en los conductos radiculares un papel </w:t>
            </w:r>
            <w:r w:rsidR="00E54B19" w:rsidRPr="001513C0">
              <w:rPr>
                <w:rFonts w:ascii="Arial" w:eastAsia="Times New Roman" w:hAnsi="Arial" w:cs="Arial"/>
                <w:sz w:val="20"/>
                <w:szCs w:val="20"/>
              </w:rPr>
              <w:t>relevante</w:t>
            </w:r>
            <w:r w:rsidRPr="001513C0">
              <w:rPr>
                <w:rFonts w:ascii="Arial" w:eastAsia="Times New Roman" w:hAnsi="Arial" w:cs="Arial"/>
                <w:sz w:val="20"/>
                <w:szCs w:val="20"/>
              </w:rPr>
              <w:t xml:space="preserve"> en la consecuencia de conductos libres de bacterias; pero al mejorar la limpieza y desinfección de los </w:t>
            </w:r>
            <w:r w:rsidR="00E54B19" w:rsidRPr="001513C0">
              <w:rPr>
                <w:rFonts w:ascii="Arial" w:eastAsia="Times New Roman" w:hAnsi="Arial" w:cs="Arial"/>
                <w:sz w:val="20"/>
                <w:szCs w:val="20"/>
              </w:rPr>
              <w:t>conductos</w:t>
            </w:r>
            <w:r w:rsidRPr="001513C0">
              <w:rPr>
                <w:rFonts w:ascii="Arial" w:eastAsia="Times New Roman" w:hAnsi="Arial" w:cs="Arial"/>
                <w:sz w:val="20"/>
                <w:szCs w:val="20"/>
              </w:rPr>
              <w:t xml:space="preserve"> gracias a la aparición de sucesivas técnicas de instrumentación, fue decayendo el uso de los medicamentos intraconducto. Estos no son inocuos, con frecuencia sus posibles efectos son más perjudiciales que beneficiarios, y su utilización clínica es empírica. Como el clínico no tiene certeza de haber conseguido conductos libres de bacterias, en los casos de periodontitis, creemos aconsejable una medicación intraconducto y demorar la obturación. El objetivo de este trabajo fue evaluar el comportamiento del efecto antibacteriano del hidróxido de calcio, con diferentes vehículos, "in vitro", ante microorganismos aerobios, en diferentes parámetros de tiempo y grado de concentración. (AU) - es </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Hidróxido de Calcio</w:t>
            </w:r>
            <w:r w:rsidRPr="001513C0">
              <w:rPr>
                <w:rFonts w:ascii="Arial" w:eastAsia="Times New Roman" w:hAnsi="Arial" w:cs="Arial"/>
                <w:sz w:val="20"/>
                <w:szCs w:val="20"/>
              </w:rPr>
              <w:br/>
              <w:t>Hidróxido de Calcio/uso terapéutico</w:t>
            </w:r>
            <w:r w:rsidRPr="001513C0">
              <w:rPr>
                <w:rFonts w:ascii="Arial" w:eastAsia="Times New Roman" w:hAnsi="Arial" w:cs="Arial"/>
                <w:sz w:val="20"/>
                <w:szCs w:val="20"/>
              </w:rPr>
              <w:br/>
              <w:t>Microbiología</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Tipo de Publicación: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In Vitro</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D05 Tesis 5 1938 </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Michelena, Graciela L </w:t>
            </w:r>
          </w:p>
        </w:tc>
      </w:tr>
      <w:tr w:rsidR="00140EBF" w:rsidRPr="001513C0" w:rsidTr="00140EBF">
        <w:trPr>
          <w:tblCellSpacing w:w="15" w:type="dxa"/>
        </w:trPr>
        <w:tc>
          <w:tcPr>
            <w:tcW w:w="1168"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lastRenderedPageBreak/>
              <w:t>Biblioteca</w:t>
            </w:r>
          </w:p>
        </w:tc>
        <w:tc>
          <w:tcPr>
            <w:tcW w:w="3779"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Pr="005D1312" w:rsidRDefault="001513C0" w:rsidP="005D1312">
      <w:pPr>
        <w:tabs>
          <w:tab w:val="left" w:pos="2032"/>
        </w:tabs>
        <w:spacing w:after="0" w:line="240" w:lineRule="auto"/>
        <w:ind w:left="360"/>
        <w:jc w:val="both"/>
        <w:rPr>
          <w:rFonts w:ascii="Arial" w:eastAsia="Times New Roman" w:hAnsi="Arial" w:cs="Arial"/>
          <w:sz w:val="20"/>
          <w:szCs w:val="20"/>
        </w:rPr>
      </w:pPr>
    </w:p>
    <w:p w:rsidR="00CA5D5B" w:rsidRDefault="00CA5D5B" w:rsidP="005D1312">
      <w:pPr>
        <w:tabs>
          <w:tab w:val="left" w:pos="2032"/>
        </w:tabs>
        <w:spacing w:after="0" w:line="240" w:lineRule="auto"/>
        <w:ind w:left="45"/>
        <w:jc w:val="both"/>
        <w:rPr>
          <w:rFonts w:ascii="Arial" w:eastAsia="Times New Roman" w:hAnsi="Arial" w:cs="Arial"/>
          <w:sz w:val="20"/>
          <w:szCs w:val="20"/>
        </w:rPr>
      </w:pPr>
    </w:p>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Malamud, Marcelo G.  </w:t>
      </w:r>
      <w:r w:rsidRPr="005D1312">
        <w:rPr>
          <w:rFonts w:ascii="Arial" w:eastAsia="Times New Roman" w:hAnsi="Arial" w:cs="Arial"/>
          <w:b/>
          <w:sz w:val="20"/>
          <w:szCs w:val="20"/>
          <w:u w:val="single"/>
        </w:rPr>
        <w:t>Efecto antimicrobiano del digluconato de clorhexidina en gel para antisepsia de los conductos radiculares: estudio in vitro</w:t>
      </w:r>
      <w:r w:rsidRPr="005D1312">
        <w:rPr>
          <w:rFonts w:ascii="Arial" w:eastAsia="Times New Roman" w:hAnsi="Arial" w:cs="Arial"/>
          <w:sz w:val="20"/>
          <w:szCs w:val="20"/>
        </w:rPr>
        <w:t xml:space="preserve">. La Plata; s.n; 2009. 120 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2"/>
        <w:gridCol w:w="6472"/>
      </w:tblGrid>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Universidad </w:t>
            </w:r>
            <w:r w:rsidR="00E54B19" w:rsidRPr="001513C0">
              <w:rPr>
                <w:rFonts w:ascii="Arial" w:eastAsia="Times New Roman" w:hAnsi="Arial" w:cs="Arial"/>
                <w:sz w:val="20"/>
                <w:szCs w:val="20"/>
              </w:rPr>
              <w:t>Católica</w:t>
            </w:r>
            <w:r w:rsidRPr="001513C0">
              <w:rPr>
                <w:rFonts w:ascii="Arial" w:eastAsia="Times New Roman" w:hAnsi="Arial" w:cs="Arial"/>
                <w:sz w:val="20"/>
                <w:szCs w:val="20"/>
              </w:rPr>
              <w:t xml:space="preserve"> de La Plata. Facultad de Odontología para obtención del grado de Doctor. </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El objetivo de este trabajo fue evaluar "in vitro" el efecto antimicrobiano de distintos geles de digluconato de </w:t>
            </w:r>
            <w:r w:rsidR="00E54B19" w:rsidRPr="001513C0">
              <w:rPr>
                <w:rFonts w:ascii="Arial" w:eastAsia="Times New Roman" w:hAnsi="Arial" w:cs="Arial"/>
                <w:sz w:val="20"/>
                <w:szCs w:val="20"/>
              </w:rPr>
              <w:t>clorhexidina</w:t>
            </w:r>
            <w:r w:rsidRPr="001513C0">
              <w:rPr>
                <w:rFonts w:ascii="Arial" w:eastAsia="Times New Roman" w:hAnsi="Arial" w:cs="Arial"/>
                <w:sz w:val="20"/>
                <w:szCs w:val="20"/>
              </w:rPr>
              <w:t xml:space="preserve">, frente a distintos grupos de microorganismos, en diferentes diluciones y en diferentes parámetros de tiempo. Cuatro de ellos existen en el comercio dental para tratamientos gingivo-periodontales, de uso tópico y uno de ellos receta magistral. Los microorganismos utilizados fueron Staphylococcus aureus, Enteococcus faecalis, Cándida albicans y Escherichia coli. Se </w:t>
            </w:r>
            <w:r w:rsidR="00E54B19" w:rsidRPr="001513C0">
              <w:rPr>
                <w:rFonts w:ascii="Arial" w:eastAsia="Times New Roman" w:hAnsi="Arial" w:cs="Arial"/>
                <w:sz w:val="20"/>
                <w:szCs w:val="20"/>
              </w:rPr>
              <w:t>estudió</w:t>
            </w:r>
            <w:r w:rsidRPr="001513C0">
              <w:rPr>
                <w:rFonts w:ascii="Arial" w:eastAsia="Times New Roman" w:hAnsi="Arial" w:cs="Arial"/>
                <w:sz w:val="20"/>
                <w:szCs w:val="20"/>
              </w:rPr>
              <w:t xml:space="preserve"> la respuesta de cada uno de los microorganismos ante los cinco productos a base de digluconato de clorhexidina: Plac Out (CHX gel 0.12%, ZP), Bucogel (CHX gel 0,12ZB), Periobacter( CHX gel 1) ZPE), periodoent (CHL gel 0,12)CZ)y recera magistral (CHX gel 2%Z). Las diluciones </w:t>
            </w:r>
            <w:r w:rsidR="00E54B19" w:rsidRPr="001513C0">
              <w:rPr>
                <w:rFonts w:ascii="Arial" w:eastAsia="Times New Roman" w:hAnsi="Arial" w:cs="Arial"/>
                <w:sz w:val="20"/>
                <w:szCs w:val="20"/>
              </w:rPr>
              <w:t>analizadas</w:t>
            </w:r>
            <w:r w:rsidRPr="001513C0">
              <w:rPr>
                <w:rFonts w:ascii="Arial" w:eastAsia="Times New Roman" w:hAnsi="Arial" w:cs="Arial"/>
                <w:sz w:val="20"/>
                <w:szCs w:val="20"/>
              </w:rPr>
              <w:t xml:space="preserve"> fueron al 100%, al 50%, al 25% y al 12% y los tiempos de lectura fueron 2, 7, 14, 21, 28 días, se realizaron 3 pruebas de cada producto y se consignaron los resultados en positivo (crecimiento) y negativo (Ausencia de crecimiento). Los resultados obtenidos nos permiten concluir que existen diferencias significativas entre el comportamiento de Periodent, siendo este el de menor actividad, en relación a los otros productos estudiados. La Clorhexidina en gel al 2 por ciento fue el más activo del grupo (receta magistral). La Candida albicans fue el microorganismo más resistente para los productos ensayados. Existe alta significancia entre las diluciones al 100% vs. 25% y 12%. El incremento del tiempo hace más </w:t>
            </w:r>
            <w:r w:rsidR="00E54B19" w:rsidRPr="001513C0">
              <w:rPr>
                <w:rFonts w:ascii="Arial" w:eastAsia="Times New Roman" w:hAnsi="Arial" w:cs="Arial"/>
                <w:sz w:val="20"/>
                <w:szCs w:val="20"/>
              </w:rPr>
              <w:t>activos</w:t>
            </w:r>
            <w:r w:rsidRPr="001513C0">
              <w:rPr>
                <w:rFonts w:ascii="Arial" w:eastAsia="Times New Roman" w:hAnsi="Arial" w:cs="Arial"/>
                <w:sz w:val="20"/>
                <w:szCs w:val="20"/>
              </w:rPr>
              <w:t xml:space="preserve"> a los productos ensayados y existe diferencia altamente significativa entre los tiempos de 2 días comparado con 21=28 días. Este modelo </w:t>
            </w:r>
            <w:r w:rsidR="00E54B19" w:rsidRPr="001513C0">
              <w:rPr>
                <w:rFonts w:ascii="Arial" w:eastAsia="Times New Roman" w:hAnsi="Arial" w:cs="Arial"/>
                <w:sz w:val="20"/>
                <w:szCs w:val="20"/>
              </w:rPr>
              <w:t>experimental</w:t>
            </w:r>
            <w:r w:rsidRPr="001513C0">
              <w:rPr>
                <w:rFonts w:ascii="Arial" w:eastAsia="Times New Roman" w:hAnsi="Arial" w:cs="Arial"/>
                <w:sz w:val="20"/>
                <w:szCs w:val="20"/>
              </w:rPr>
              <w:t xml:space="preserve"> dejo abierta nuevas líneas de investigación en base al comportamiento de esta droga y al diseño industrial de medicación intraconducto entre sesiones, vinculada a la Clorhexidina. (AU) - es </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Endodoncia</w:t>
            </w:r>
            <w:r w:rsidRPr="001513C0">
              <w:rPr>
                <w:rFonts w:ascii="Arial" w:eastAsia="Times New Roman" w:hAnsi="Arial" w:cs="Arial"/>
                <w:sz w:val="20"/>
                <w:szCs w:val="20"/>
              </w:rPr>
              <w:br/>
              <w:t>Clorhexidina</w:t>
            </w:r>
            <w:r w:rsidRPr="001513C0">
              <w:rPr>
                <w:rFonts w:ascii="Arial" w:eastAsia="Times New Roman" w:hAnsi="Arial" w:cs="Arial"/>
                <w:sz w:val="20"/>
                <w:szCs w:val="20"/>
              </w:rPr>
              <w:br/>
              <w:t>Clorhexidina/uso terapéutico</w:t>
            </w:r>
            <w:r w:rsidRPr="001513C0">
              <w:rPr>
                <w:rFonts w:ascii="Arial" w:eastAsia="Times New Roman" w:hAnsi="Arial" w:cs="Arial"/>
                <w:sz w:val="20"/>
                <w:szCs w:val="20"/>
              </w:rPr>
              <w:br/>
              <w:t>Antisepsia</w:t>
            </w:r>
            <w:r w:rsidRPr="001513C0">
              <w:rPr>
                <w:rFonts w:ascii="Arial" w:eastAsia="Times New Roman" w:hAnsi="Arial" w:cs="Arial"/>
                <w:sz w:val="20"/>
                <w:szCs w:val="20"/>
              </w:rPr>
              <w:br/>
              <w:t>Cavidad Pulpar</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Límites: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Humanos</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Tipo de Publicación: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In Vitro</w:t>
            </w:r>
          </w:p>
        </w:tc>
      </w:tr>
      <w:tr w:rsidR="001513C0" w:rsidRPr="001513C0" w:rsidTr="00140EBF">
        <w:trPr>
          <w:tblCellSpacing w:w="15" w:type="dxa"/>
        </w:trPr>
        <w:tc>
          <w:tcPr>
            <w:tcW w:w="1168"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779"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D05 Tesis 4 1939 </w:t>
            </w:r>
          </w:p>
        </w:tc>
      </w:tr>
      <w:tr w:rsidR="00140EBF" w:rsidRPr="001513C0" w:rsidTr="00140EBF">
        <w:trPr>
          <w:tblCellSpacing w:w="15" w:type="dxa"/>
        </w:trPr>
        <w:tc>
          <w:tcPr>
            <w:tcW w:w="1168"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779"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Pr="005D1312" w:rsidRDefault="001513C0" w:rsidP="005D1312">
      <w:pPr>
        <w:tabs>
          <w:tab w:val="left" w:pos="2032"/>
        </w:tabs>
        <w:spacing w:after="0" w:line="240" w:lineRule="auto"/>
        <w:ind w:left="360"/>
        <w:jc w:val="both"/>
        <w:rPr>
          <w:rFonts w:ascii="Arial" w:eastAsia="Times New Roman" w:hAnsi="Arial" w:cs="Arial"/>
          <w:sz w:val="20"/>
          <w:szCs w:val="20"/>
        </w:rPr>
      </w:pPr>
    </w:p>
    <w:p w:rsidR="00CA5D5B" w:rsidRPr="00CA5D5B" w:rsidRDefault="00CA5D5B" w:rsidP="005D1312">
      <w:pPr>
        <w:tabs>
          <w:tab w:val="left" w:pos="2032"/>
        </w:tabs>
        <w:spacing w:after="0" w:line="240" w:lineRule="auto"/>
        <w:ind w:left="45"/>
        <w:jc w:val="both"/>
        <w:rPr>
          <w:rFonts w:ascii="Arial" w:eastAsia="Times New Roman" w:hAnsi="Arial" w:cs="Arial"/>
          <w:sz w:val="20"/>
          <w:szCs w:val="20"/>
        </w:rPr>
      </w:pPr>
    </w:p>
    <w:p w:rsidR="001513C0"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Lizzi, Marcela Ruth. </w:t>
      </w:r>
      <w:r w:rsidRPr="005D1312">
        <w:rPr>
          <w:rFonts w:ascii="Arial" w:eastAsia="Times New Roman" w:hAnsi="Arial" w:cs="Arial"/>
          <w:b/>
          <w:sz w:val="20"/>
          <w:szCs w:val="20"/>
          <w:u w:val="single"/>
        </w:rPr>
        <w:t>Análisis diagnóstico del perfil facial en ortodoncia y cirugía ortognática</w:t>
      </w:r>
      <w:r w:rsidRPr="005D1312">
        <w:rPr>
          <w:rFonts w:ascii="Arial" w:eastAsia="Times New Roman" w:hAnsi="Arial" w:cs="Arial"/>
          <w:sz w:val="20"/>
          <w:szCs w:val="20"/>
        </w:rPr>
        <w:t xml:space="preserve">.  La Plata; s.n; 2009. 98 p. ilus, tab.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w:t>
            </w:r>
            <w:r w:rsidR="00E54B19" w:rsidRPr="001513C0">
              <w:rPr>
                <w:rFonts w:ascii="Arial" w:eastAsia="Times New Roman" w:hAnsi="Arial" w:cs="Arial"/>
                <w:sz w:val="20"/>
                <w:szCs w:val="20"/>
              </w:rPr>
              <w:t>Facultad</w:t>
            </w:r>
            <w:r w:rsidRPr="001513C0">
              <w:rPr>
                <w:rFonts w:ascii="Arial" w:eastAsia="Times New Roman" w:hAnsi="Arial" w:cs="Arial"/>
                <w:sz w:val="20"/>
                <w:szCs w:val="20"/>
              </w:rPr>
              <w:t xml:space="preserve"> de Odontología Universidad Católica de la Plata y Sociedad Odontológica de La Plata para obtención del grado de Doctora.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lastRenderedPageBreak/>
              <w:t xml:space="preserve">Resumen(es): </w:t>
            </w:r>
          </w:p>
        </w:tc>
        <w:tc>
          <w:tcPr>
            <w:tcW w:w="3805" w:type="pct"/>
            <w:hideMark/>
          </w:tcPr>
          <w:p w:rsidR="001513C0" w:rsidRPr="001513C0" w:rsidRDefault="001513C0" w:rsidP="00E54B19">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Mediante el presente trabajo apuntamos a determinar la efectividad del uso de un análisis cefalométrico de los tejidos blandos del perfil facial para diagnóstico en pacientes de ortodoncia y de cirugía ortognática. Hemos evaluado 20 pacientes que concurrieron a recibir tratamiento, motivados por el compromiso estético facial que presentaban. A cada paciente se le soli</w:t>
            </w:r>
            <w:r w:rsidR="00E54B19">
              <w:rPr>
                <w:rFonts w:ascii="Arial" w:eastAsia="Times New Roman" w:hAnsi="Arial" w:cs="Arial"/>
                <w:sz w:val="20"/>
                <w:szCs w:val="20"/>
              </w:rPr>
              <w:t>c</w:t>
            </w:r>
            <w:r w:rsidRPr="001513C0">
              <w:rPr>
                <w:rFonts w:ascii="Arial" w:eastAsia="Times New Roman" w:hAnsi="Arial" w:cs="Arial"/>
                <w:sz w:val="20"/>
                <w:szCs w:val="20"/>
              </w:rPr>
              <w:t>i</w:t>
            </w:r>
            <w:r w:rsidR="00E54B19">
              <w:rPr>
                <w:rFonts w:ascii="Arial" w:eastAsia="Times New Roman" w:hAnsi="Arial" w:cs="Arial"/>
                <w:sz w:val="20"/>
                <w:szCs w:val="20"/>
              </w:rPr>
              <w:t>t</w:t>
            </w:r>
            <w:r w:rsidRPr="001513C0">
              <w:rPr>
                <w:rFonts w:ascii="Arial" w:eastAsia="Times New Roman" w:hAnsi="Arial" w:cs="Arial"/>
                <w:sz w:val="20"/>
                <w:szCs w:val="20"/>
              </w:rPr>
              <w:t xml:space="preserve">aron 2 tomas diferidas de telerradiografías en proyección látero- lateral con perfil blando, tomadas en referencia al plano de Frankfort. Sobre ellas se realizaron calco radiográfico y trazado cefalométrico para el análisis que aquí presentamos. El análisis cefalométrico sobre la primera toma telerradiográfica fue utilizado para diagnóstico y sobre los resultados obtenidos se ajustó el plan de tratamiento. La segunda toma telerradiográfica se indicó luego de finalizado el tratamiento, que en 11 de los casos fue ortodóncico, y en los 9 restantes, de cirugía ortognática. El análisis cefalométrico sobre la segunda toma telerradiográfica fue utilizado para evaluar las modificaciones </w:t>
            </w:r>
            <w:r w:rsidR="00E54B19" w:rsidRPr="001513C0">
              <w:rPr>
                <w:rFonts w:ascii="Arial" w:eastAsia="Times New Roman" w:hAnsi="Arial" w:cs="Arial"/>
                <w:sz w:val="20"/>
                <w:szCs w:val="20"/>
              </w:rPr>
              <w:t>obtenidas</w:t>
            </w:r>
            <w:r w:rsidRPr="001513C0">
              <w:rPr>
                <w:rFonts w:ascii="Arial" w:eastAsia="Times New Roman" w:hAnsi="Arial" w:cs="Arial"/>
                <w:sz w:val="20"/>
                <w:szCs w:val="20"/>
              </w:rPr>
              <w:t xml:space="preserve"> mediante el tratamiento. Los resultados conducen a demostrar la necesidad del análisis de los tejidos blandos del perfil facial, antes de implementar el plan de tratamiento, fundamentalmente en casos donde la estética facial se encuentra comprometida. (AU) - es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Cara</w:t>
            </w:r>
            <w:r w:rsidRPr="001513C0">
              <w:rPr>
                <w:rFonts w:ascii="Arial" w:eastAsia="Times New Roman" w:hAnsi="Arial" w:cs="Arial"/>
                <w:sz w:val="20"/>
                <w:szCs w:val="20"/>
              </w:rPr>
              <w:br/>
              <w:t>Cefalometría</w:t>
            </w:r>
            <w:r w:rsidRPr="001513C0">
              <w:rPr>
                <w:rFonts w:ascii="Arial" w:eastAsia="Times New Roman" w:hAnsi="Arial" w:cs="Arial"/>
                <w:sz w:val="20"/>
                <w:szCs w:val="20"/>
              </w:rPr>
              <w:br/>
              <w:t>Cefalometría/normas</w:t>
            </w:r>
            <w:r w:rsidRPr="001513C0">
              <w:rPr>
                <w:rFonts w:ascii="Arial" w:eastAsia="Times New Roman" w:hAnsi="Arial" w:cs="Arial"/>
                <w:sz w:val="20"/>
                <w:szCs w:val="20"/>
              </w:rPr>
              <w:br/>
              <w:t>Estética</w:t>
            </w:r>
            <w:r w:rsidRPr="001513C0">
              <w:rPr>
                <w:rFonts w:ascii="Arial" w:eastAsia="Times New Roman" w:hAnsi="Arial" w:cs="Arial"/>
                <w:sz w:val="20"/>
                <w:szCs w:val="20"/>
              </w:rPr>
              <w:br/>
              <w:t>Estética Dental</w:t>
            </w:r>
            <w:r w:rsidRPr="001513C0">
              <w:rPr>
                <w:rFonts w:ascii="Arial" w:eastAsia="Times New Roman" w:hAnsi="Arial" w:cs="Arial"/>
                <w:sz w:val="20"/>
                <w:szCs w:val="20"/>
              </w:rPr>
              <w:br/>
              <w:t>Ortodoncia</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Tesis2 Li48 1629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Hernández, Ana María </w:t>
            </w:r>
          </w:p>
        </w:tc>
      </w:tr>
      <w:tr w:rsidR="00140EBF" w:rsidRPr="001513C0" w:rsidTr="00140EBF">
        <w:trPr>
          <w:tblCellSpacing w:w="15" w:type="dxa"/>
        </w:trPr>
        <w:tc>
          <w:tcPr>
            <w:tcW w:w="1142"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805"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br/>
      </w:r>
      <w:r w:rsidRPr="005D1312">
        <w:rPr>
          <w:rFonts w:ascii="Arial" w:eastAsia="Times New Roman" w:hAnsi="Arial" w:cs="Arial"/>
          <w:sz w:val="20"/>
          <w:szCs w:val="20"/>
        </w:rPr>
        <w:br/>
        <w:t xml:space="preserve">Consoli, Néstor Rubén. </w:t>
      </w:r>
      <w:r w:rsidRPr="005D1312">
        <w:rPr>
          <w:rFonts w:ascii="Arial" w:eastAsia="Times New Roman" w:hAnsi="Arial" w:cs="Arial"/>
          <w:b/>
          <w:sz w:val="20"/>
          <w:szCs w:val="20"/>
          <w:u w:val="single"/>
        </w:rPr>
        <w:t>Tratamiento interdisciplinario del paciente con fisura labio-alvéolo-palatina.</w:t>
      </w:r>
      <w:r w:rsidRPr="005D1312">
        <w:rPr>
          <w:rFonts w:ascii="Arial" w:eastAsia="Times New Roman" w:hAnsi="Arial" w:cs="Arial"/>
          <w:sz w:val="20"/>
          <w:szCs w:val="20"/>
        </w:rPr>
        <w:t xml:space="preserve"> La Plata; s.n; 2008. 163 p. ilus, tab.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Facultad de Odontología Universidad Católica de La Plata y Sociedad Odontológica de La Plata para obtención del grado de Doctor.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En el presente trabajo, se </w:t>
            </w:r>
            <w:r w:rsidR="00E54B19" w:rsidRPr="001513C0">
              <w:rPr>
                <w:rFonts w:ascii="Arial" w:eastAsia="Times New Roman" w:hAnsi="Arial" w:cs="Arial"/>
                <w:sz w:val="20"/>
                <w:szCs w:val="20"/>
              </w:rPr>
              <w:t>abordó</w:t>
            </w:r>
            <w:r w:rsidRPr="001513C0">
              <w:rPr>
                <w:rFonts w:ascii="Arial" w:eastAsia="Times New Roman" w:hAnsi="Arial" w:cs="Arial"/>
                <w:sz w:val="20"/>
                <w:szCs w:val="20"/>
              </w:rPr>
              <w:t xml:space="preserve"> el manejo de esta malformación </w:t>
            </w:r>
            <w:r w:rsidR="00E54B19" w:rsidRPr="001513C0">
              <w:rPr>
                <w:rFonts w:ascii="Arial" w:eastAsia="Times New Roman" w:hAnsi="Arial" w:cs="Arial"/>
                <w:sz w:val="20"/>
                <w:szCs w:val="20"/>
              </w:rPr>
              <w:t>congénita</w:t>
            </w:r>
            <w:r w:rsidRPr="001513C0">
              <w:rPr>
                <w:rFonts w:ascii="Arial" w:eastAsia="Times New Roman" w:hAnsi="Arial" w:cs="Arial"/>
                <w:sz w:val="20"/>
                <w:szCs w:val="20"/>
              </w:rPr>
              <w:t xml:space="preserve"> F.L.A.P., donde mostramos en forma ordenada y reglada, el tratamiento realizado desde el nacimiento del niño con fisura, siguiendo sus crecimiento, desarrollo y evolución en el tiempo. Tomamos como pilar, el tratamiento ortopédico </w:t>
            </w:r>
            <w:r w:rsidR="00E54B19" w:rsidRPr="001513C0">
              <w:rPr>
                <w:rFonts w:ascii="Arial" w:eastAsia="Times New Roman" w:hAnsi="Arial" w:cs="Arial"/>
                <w:sz w:val="20"/>
                <w:szCs w:val="20"/>
              </w:rPr>
              <w:t>pre quirúrgico</w:t>
            </w:r>
            <w:r w:rsidRPr="001513C0">
              <w:rPr>
                <w:rFonts w:ascii="Arial" w:eastAsia="Times New Roman" w:hAnsi="Arial" w:cs="Arial"/>
                <w:sz w:val="20"/>
                <w:szCs w:val="20"/>
              </w:rPr>
              <w:t xml:space="preserve"> con placas de ortesis, para orientar y guiar el crecimiento del maxilar, y así después poder dar efectividad a las técnicas quirúrgicas propuestas. De esta manera, mostramos los logros obtenidos a partir de un </w:t>
            </w:r>
            <w:r w:rsidR="00E54B19" w:rsidRPr="001513C0">
              <w:rPr>
                <w:rFonts w:ascii="Arial" w:eastAsia="Times New Roman" w:hAnsi="Arial" w:cs="Arial"/>
                <w:sz w:val="20"/>
                <w:szCs w:val="20"/>
              </w:rPr>
              <w:t>maxilar</w:t>
            </w:r>
            <w:r w:rsidRPr="001513C0">
              <w:rPr>
                <w:rFonts w:ascii="Arial" w:eastAsia="Times New Roman" w:hAnsi="Arial" w:cs="Arial"/>
                <w:sz w:val="20"/>
                <w:szCs w:val="20"/>
              </w:rPr>
              <w:t xml:space="preserve"> armónico, y el seguimiento de los pacientes en el tiempo, obteniendo resultados aceptables de acuerdo a la envergadura de esta malformación. (AU) - es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Paladar Fisurado</w:t>
            </w:r>
            <w:r w:rsidRPr="001513C0">
              <w:rPr>
                <w:rFonts w:ascii="Arial" w:eastAsia="Times New Roman" w:hAnsi="Arial" w:cs="Arial"/>
                <w:sz w:val="20"/>
                <w:szCs w:val="20"/>
              </w:rPr>
              <w:br/>
              <w:t>Labio Leporino</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Tesis3 Co13 1630 </w:t>
            </w:r>
          </w:p>
        </w:tc>
      </w:tr>
      <w:tr w:rsidR="001513C0" w:rsidRPr="001513C0" w:rsidTr="00140EBF">
        <w:trPr>
          <w:tblCellSpacing w:w="15" w:type="dxa"/>
        </w:trPr>
        <w:tc>
          <w:tcPr>
            <w:tcW w:w="1142"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3805"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Olivieri, Pablo Héctor </w:t>
            </w:r>
          </w:p>
        </w:tc>
      </w:tr>
      <w:tr w:rsidR="00140EBF" w:rsidRPr="001513C0" w:rsidTr="00140EBF">
        <w:trPr>
          <w:tblCellSpacing w:w="15" w:type="dxa"/>
        </w:trPr>
        <w:tc>
          <w:tcPr>
            <w:tcW w:w="1142"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805"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lastRenderedPageBreak/>
              <w:t>biblioteca@solp.org.ar</w:t>
            </w:r>
          </w:p>
        </w:tc>
      </w:tr>
    </w:tbl>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lastRenderedPageBreak/>
        <w:br/>
        <w:t xml:space="preserve">Sempé, Germán Enrique. </w:t>
      </w:r>
      <w:r w:rsidRPr="005D1312">
        <w:rPr>
          <w:rFonts w:ascii="Arial" w:eastAsia="Times New Roman" w:hAnsi="Arial" w:cs="Arial"/>
          <w:b/>
          <w:sz w:val="20"/>
          <w:szCs w:val="20"/>
          <w:u w:val="single"/>
        </w:rPr>
        <w:t>Evaluación in vitro del transporte apical en la desobturación total del conducto radicular con instrumentos rotatorios de níquel-titanio</w:t>
      </w:r>
      <w:r w:rsidRPr="005D1312">
        <w:rPr>
          <w:rFonts w:ascii="Arial" w:eastAsia="Times New Roman" w:hAnsi="Arial" w:cs="Arial"/>
          <w:sz w:val="20"/>
          <w:szCs w:val="20"/>
        </w:rPr>
        <w:t xml:space="preserve">. La Plata; s.n; 2009. 87 p. ilus, tab. </w:t>
      </w:r>
    </w:p>
    <w:tbl>
      <w:tblPr>
        <w:tblW w:w="9000" w:type="dxa"/>
        <w:jc w:val="center"/>
        <w:tblCellSpacing w:w="0" w:type="dxa"/>
        <w:tblCellMar>
          <w:left w:w="0" w:type="dxa"/>
          <w:right w:w="0" w:type="dxa"/>
        </w:tblCellMar>
        <w:tblLook w:val="04A0" w:firstRow="1" w:lastRow="0" w:firstColumn="1" w:lastColumn="0" w:noHBand="0" w:noVBand="1"/>
      </w:tblPr>
      <w:tblGrid>
        <w:gridCol w:w="1987"/>
        <w:gridCol w:w="6517"/>
        <w:gridCol w:w="496"/>
      </w:tblGrid>
      <w:tr w:rsidR="001513C0" w:rsidRPr="001513C0" w:rsidTr="00140EBF">
        <w:trPr>
          <w:tblCellSpacing w:w="0" w:type="dxa"/>
          <w:jc w:val="center"/>
        </w:trPr>
        <w:tc>
          <w:tcPr>
            <w:tcW w:w="9000" w:type="dxa"/>
            <w:gridSpan w:val="3"/>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7013"/>
            </w:tblGrid>
            <w:tr w:rsidR="001513C0" w:rsidRP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Facultad de Odontología Universidad Católica de La Plata y Sociedad Odontológica de La Plata para obtención del grado de Doctor. </w:t>
                  </w:r>
                </w:p>
              </w:tc>
            </w:tr>
            <w:tr w:rsidR="001513C0" w:rsidRP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4150" w:type="pct"/>
                  <w:hideMark/>
                </w:tcPr>
                <w:p w:rsidR="001513C0" w:rsidRPr="001513C0" w:rsidRDefault="001513C0" w:rsidP="00E54B19">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El objetivo del presente estudio es evaluar in vitro el grado de transporte apical, limpieza, incidencia de instrumentos separados y tiempos de desobturación en forámenes apicales de premolares </w:t>
                  </w:r>
                  <w:r w:rsidR="00E54B19" w:rsidRPr="001513C0">
                    <w:rPr>
                      <w:rFonts w:ascii="Arial" w:eastAsia="Times New Roman" w:hAnsi="Arial" w:cs="Arial"/>
                      <w:sz w:val="20"/>
                      <w:szCs w:val="20"/>
                    </w:rPr>
                    <w:t>inferiores</w:t>
                  </w:r>
                  <w:r w:rsidRPr="001513C0">
                    <w:rPr>
                      <w:rFonts w:ascii="Arial" w:eastAsia="Times New Roman" w:hAnsi="Arial" w:cs="Arial"/>
                      <w:sz w:val="20"/>
                      <w:szCs w:val="20"/>
                    </w:rPr>
                    <w:t xml:space="preserve"> </w:t>
                  </w:r>
                  <w:r w:rsidR="00E54B19" w:rsidRPr="001513C0">
                    <w:rPr>
                      <w:rFonts w:ascii="Arial" w:eastAsia="Times New Roman" w:hAnsi="Arial" w:cs="Arial"/>
                      <w:sz w:val="20"/>
                      <w:szCs w:val="20"/>
                    </w:rPr>
                    <w:t>humanos</w:t>
                  </w:r>
                  <w:r w:rsidRPr="001513C0">
                    <w:rPr>
                      <w:rFonts w:ascii="Arial" w:eastAsia="Times New Roman" w:hAnsi="Arial" w:cs="Arial"/>
                      <w:sz w:val="20"/>
                      <w:szCs w:val="20"/>
                    </w:rPr>
                    <w:t xml:space="preserve">, luego del empleo de cuatro instrumentos rotatorios de níquel-titanio (Pro-File, Ra-Ce, Quantex TM y K3) utilizados en la desobturación total de conductos </w:t>
                  </w:r>
                  <w:r w:rsidR="00E54B19" w:rsidRPr="001513C0">
                    <w:rPr>
                      <w:rFonts w:ascii="Arial" w:eastAsia="Times New Roman" w:hAnsi="Arial" w:cs="Arial"/>
                      <w:sz w:val="20"/>
                      <w:szCs w:val="20"/>
                    </w:rPr>
                    <w:t>radiculares</w:t>
                  </w:r>
                  <w:r w:rsidRPr="001513C0">
                    <w:rPr>
                      <w:rFonts w:ascii="Arial" w:eastAsia="Times New Roman" w:hAnsi="Arial" w:cs="Arial"/>
                      <w:sz w:val="20"/>
                      <w:szCs w:val="20"/>
                    </w:rPr>
                    <w:t xml:space="preserve"> para retratamiento. Se seleccionaron sesenta especímenes a los que se les tomaron tres imágenes (foramen virgen, </w:t>
                  </w:r>
                  <w:r w:rsidR="00E54B19" w:rsidRPr="001513C0">
                    <w:rPr>
                      <w:rFonts w:ascii="Arial" w:eastAsia="Times New Roman" w:hAnsi="Arial" w:cs="Arial"/>
                      <w:sz w:val="20"/>
                      <w:szCs w:val="20"/>
                    </w:rPr>
                    <w:t>pos conformación</w:t>
                  </w:r>
                  <w:r w:rsidRPr="001513C0">
                    <w:rPr>
                      <w:rFonts w:ascii="Arial" w:eastAsia="Times New Roman" w:hAnsi="Arial" w:cs="Arial"/>
                      <w:sz w:val="20"/>
                      <w:szCs w:val="20"/>
                    </w:rPr>
                    <w:t xml:space="preserve">, postdesobturación) con radiovisiógrafo y con microscopio electrónico de barrido (MEB). Se conforman con instrumentos ProFile.06, se obturaron con técnica híbrida y sellador Grossman. Las </w:t>
                  </w:r>
                  <w:r w:rsidR="00E54B19" w:rsidRPr="001513C0">
                    <w:rPr>
                      <w:rFonts w:ascii="Arial" w:eastAsia="Times New Roman" w:hAnsi="Arial" w:cs="Arial"/>
                      <w:sz w:val="20"/>
                      <w:szCs w:val="20"/>
                    </w:rPr>
                    <w:t>imágenes</w:t>
                  </w:r>
                  <w:r w:rsidRPr="001513C0">
                    <w:rPr>
                      <w:rFonts w:ascii="Arial" w:eastAsia="Times New Roman" w:hAnsi="Arial" w:cs="Arial"/>
                      <w:sz w:val="20"/>
                      <w:szCs w:val="20"/>
                    </w:rPr>
                    <w:t xml:space="preserve"> del MEB fueron analizados con el programa Image Pro Plus Media Cybernetic versión 6. donde se trazaron los límites de cada imagen de los forámenes. Se </w:t>
                  </w:r>
                  <w:r w:rsidR="00E54B19" w:rsidRPr="001513C0">
                    <w:rPr>
                      <w:rFonts w:ascii="Arial" w:eastAsia="Times New Roman" w:hAnsi="Arial" w:cs="Arial"/>
                      <w:sz w:val="20"/>
                      <w:szCs w:val="20"/>
                    </w:rPr>
                    <w:t>evalúa</w:t>
                  </w:r>
                  <w:r w:rsidRPr="001513C0">
                    <w:rPr>
                      <w:rFonts w:ascii="Arial" w:eastAsia="Times New Roman" w:hAnsi="Arial" w:cs="Arial"/>
                      <w:sz w:val="20"/>
                      <w:szCs w:val="20"/>
                    </w:rPr>
                    <w:t xml:space="preserve"> el </w:t>
                  </w:r>
                  <w:r w:rsidR="00E54B19" w:rsidRPr="001513C0">
                    <w:rPr>
                      <w:rFonts w:ascii="Arial" w:eastAsia="Times New Roman" w:hAnsi="Arial" w:cs="Arial"/>
                      <w:sz w:val="20"/>
                      <w:szCs w:val="20"/>
                    </w:rPr>
                    <w:t>transporte</w:t>
                  </w:r>
                  <w:r w:rsidRPr="001513C0">
                    <w:rPr>
                      <w:rFonts w:ascii="Arial" w:eastAsia="Times New Roman" w:hAnsi="Arial" w:cs="Arial"/>
                      <w:sz w:val="20"/>
                      <w:szCs w:val="20"/>
                    </w:rPr>
                    <w:t xml:space="preserve"> apical, no encontrándose diferencias significativa (P&lt;0.05) par ProFile y RaCe. Estos grupos establecieron diferencia estadísticamente significativa (P&lt;0.05)</w:t>
                  </w:r>
                  <w:r w:rsidR="00E54B19">
                    <w:rPr>
                      <w:rFonts w:ascii="Arial" w:eastAsia="Times New Roman" w:hAnsi="Arial" w:cs="Arial"/>
                      <w:sz w:val="20"/>
                      <w:szCs w:val="20"/>
                    </w:rPr>
                    <w:t xml:space="preserve"> con Quantec TM y K3. Se separa</w:t>
                  </w:r>
                  <w:r w:rsidRPr="001513C0">
                    <w:rPr>
                      <w:rFonts w:ascii="Arial" w:eastAsia="Times New Roman" w:hAnsi="Arial" w:cs="Arial"/>
                      <w:sz w:val="20"/>
                      <w:szCs w:val="20"/>
                    </w:rPr>
                    <w:t xml:space="preserve">ron cuatro instrumentos: dos ProFile, uno RaCe y uno Quantec TM lo que </w:t>
                  </w:r>
                  <w:r w:rsidR="00E54B19" w:rsidRPr="001513C0">
                    <w:rPr>
                      <w:rFonts w:ascii="Arial" w:eastAsia="Times New Roman" w:hAnsi="Arial" w:cs="Arial"/>
                      <w:sz w:val="20"/>
                      <w:szCs w:val="20"/>
                    </w:rPr>
                    <w:t>significa</w:t>
                  </w:r>
                  <w:r w:rsidRPr="001513C0">
                    <w:rPr>
                      <w:rFonts w:ascii="Arial" w:eastAsia="Times New Roman" w:hAnsi="Arial" w:cs="Arial"/>
                      <w:sz w:val="20"/>
                      <w:szCs w:val="20"/>
                    </w:rPr>
                    <w:t xml:space="preserve"> 6,7% de la muestra. No hubo diferencias significativas en lo que respecta a los tiempos de desobturación (P&lt;0.05). (AU) - es </w:t>
                  </w:r>
                </w:p>
              </w:tc>
            </w:tr>
            <w:tr w:rsidR="001513C0" w:rsidRP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Obturación del Conducto Radicular/tendencias</w:t>
                  </w:r>
                  <w:r w:rsidRPr="001513C0">
                    <w:rPr>
                      <w:rFonts w:ascii="Arial" w:eastAsia="Times New Roman" w:hAnsi="Arial" w:cs="Arial"/>
                      <w:sz w:val="20"/>
                      <w:szCs w:val="20"/>
                    </w:rPr>
                    <w:br/>
                    <w:t>Obturación del Conducto Radicular/utilización</w:t>
                  </w:r>
                  <w:r w:rsidRPr="001513C0">
                    <w:rPr>
                      <w:rFonts w:ascii="Arial" w:eastAsia="Times New Roman" w:hAnsi="Arial" w:cs="Arial"/>
                      <w:sz w:val="20"/>
                      <w:szCs w:val="20"/>
                    </w:rPr>
                    <w:br/>
                    <w:t>Níquel/uso terapéutico</w:t>
                  </w:r>
                  <w:r w:rsidRPr="001513C0">
                    <w:rPr>
                      <w:rFonts w:ascii="Arial" w:eastAsia="Times New Roman" w:hAnsi="Arial" w:cs="Arial"/>
                      <w:sz w:val="20"/>
                      <w:szCs w:val="20"/>
                    </w:rPr>
                    <w:br/>
                    <w:t>Titanio/uso terapéutico</w:t>
                  </w:r>
                </w:p>
              </w:tc>
            </w:tr>
            <w:tr w:rsidR="001513C0" w:rsidRP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AR295.1; Te1 2009 1628 </w:t>
                  </w:r>
                </w:p>
              </w:tc>
            </w:tr>
            <w:tr w:rsidR="001513C0" w:rsidRPr="001513C0">
              <w:trPr>
                <w:tblCellSpacing w:w="15" w:type="dxa"/>
              </w:trPr>
              <w:tc>
                <w:tcPr>
                  <w:tcW w:w="850" w:type="pct"/>
                  <w:noWrap/>
                  <w:hideMark/>
                </w:tcPr>
                <w:p w:rsidR="001513C0" w:rsidRPr="001513C0" w:rsidRDefault="001513C0" w:rsidP="001513C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4150" w:type="pct"/>
                  <w:hideMark/>
                </w:tcPr>
                <w:p w:rsidR="001513C0" w:rsidRPr="001513C0" w:rsidRDefault="001513C0" w:rsidP="001513C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De Silvio, Ana Clara </w:t>
                  </w:r>
                </w:p>
              </w:tc>
            </w:tr>
          </w:tbl>
          <w:p w:rsidR="001513C0" w:rsidRPr="001513C0" w:rsidRDefault="001513C0" w:rsidP="001513C0">
            <w:pPr>
              <w:spacing w:after="0" w:line="240" w:lineRule="auto"/>
              <w:rPr>
                <w:rFonts w:ascii="Times New Roman" w:eastAsia="Times New Roman" w:hAnsi="Times New Roman" w:cs="Times New Roman"/>
                <w:sz w:val="24"/>
                <w:szCs w:val="24"/>
              </w:rPr>
            </w:pPr>
          </w:p>
        </w:tc>
      </w:tr>
      <w:tr w:rsidR="00140EBF" w:rsidRPr="001513C0" w:rsidTr="00140EBF">
        <w:tblPrEx>
          <w:jc w:val="left"/>
          <w:tblCellSpacing w:w="15" w:type="dxa"/>
          <w:tblCellMar>
            <w:top w:w="15" w:type="dxa"/>
            <w:left w:w="15" w:type="dxa"/>
            <w:bottom w:w="15" w:type="dxa"/>
            <w:right w:w="15" w:type="dxa"/>
          </w:tblCellMar>
        </w:tblPrEx>
        <w:trPr>
          <w:gridAfter w:val="1"/>
          <w:wAfter w:w="496" w:type="dxa"/>
          <w:tblCellSpacing w:w="15" w:type="dxa"/>
        </w:trPr>
        <w:tc>
          <w:tcPr>
            <w:tcW w:w="1987" w:type="dxa"/>
            <w:noWrap/>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6517" w:type="dxa"/>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1513C0" w:rsidRPr="005D1312" w:rsidRDefault="001513C0" w:rsidP="005D1312">
      <w:pPr>
        <w:tabs>
          <w:tab w:val="left" w:pos="2032"/>
        </w:tabs>
        <w:spacing w:after="0" w:line="240" w:lineRule="auto"/>
        <w:ind w:left="360"/>
        <w:jc w:val="both"/>
        <w:rPr>
          <w:rFonts w:ascii="Arial" w:eastAsia="Times New Roman" w:hAnsi="Arial" w:cs="Arial"/>
          <w:sz w:val="20"/>
          <w:szCs w:val="20"/>
        </w:rPr>
      </w:pPr>
    </w:p>
    <w:p w:rsidR="00CA5D5B" w:rsidRPr="00CA5D5B" w:rsidRDefault="00CA5D5B" w:rsidP="005D1312">
      <w:pPr>
        <w:tabs>
          <w:tab w:val="left" w:pos="2032"/>
        </w:tabs>
        <w:spacing w:after="0" w:line="240" w:lineRule="auto"/>
        <w:ind w:left="45"/>
        <w:jc w:val="both"/>
        <w:rPr>
          <w:rFonts w:ascii="Arial" w:eastAsia="Times New Roman" w:hAnsi="Arial" w:cs="Arial"/>
          <w:sz w:val="20"/>
          <w:szCs w:val="20"/>
        </w:rPr>
      </w:pPr>
    </w:p>
    <w:p w:rsidR="00CA5D5B" w:rsidRDefault="00CA5D5B"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Roletto, Irma Cristina. </w:t>
      </w:r>
      <w:r w:rsidRPr="005D1312">
        <w:rPr>
          <w:rFonts w:ascii="Arial" w:eastAsia="Times New Roman" w:hAnsi="Arial" w:cs="Arial"/>
          <w:b/>
          <w:sz w:val="20"/>
          <w:szCs w:val="20"/>
          <w:u w:val="single"/>
        </w:rPr>
        <w:t>Evaluación de esfuerzos ejercidos sobre los dientes y estructuras de soporte durante la ejecución de instrumentos musicales de viento usando un sistema microcontrolado</w:t>
      </w:r>
      <w:r w:rsidRPr="005D1312">
        <w:rPr>
          <w:rFonts w:ascii="Arial" w:eastAsia="Times New Roman" w:hAnsi="Arial" w:cs="Arial"/>
          <w:sz w:val="20"/>
          <w:szCs w:val="20"/>
        </w:rPr>
        <w:t>. La Plata; Facultad de Odontología UCALP- SOLP; 2009</w:t>
      </w:r>
      <w:r w:rsidR="00B34AD7" w:rsidRPr="005D1312">
        <w:rPr>
          <w:rFonts w:ascii="Arial" w:eastAsia="Times New Roman" w:hAnsi="Arial" w:cs="Arial"/>
          <w:sz w:val="20"/>
          <w:szCs w:val="20"/>
        </w:rPr>
        <w:t xml:space="preserve"> </w:t>
      </w:r>
      <w:r w:rsidRPr="005D1312">
        <w:rPr>
          <w:rFonts w:ascii="Arial" w:eastAsia="Times New Roman" w:hAnsi="Arial" w:cs="Arial"/>
          <w:sz w:val="20"/>
          <w:szCs w:val="20"/>
        </w:rPr>
        <w:t xml:space="preserve"> 58 p.</w:t>
      </w:r>
    </w:p>
    <w:tbl>
      <w:tblPr>
        <w:tblW w:w="4842" w:type="pct"/>
        <w:tblCellSpacing w:w="15" w:type="dxa"/>
        <w:tblCellMar>
          <w:top w:w="15" w:type="dxa"/>
          <w:left w:w="15" w:type="dxa"/>
          <w:bottom w:w="15" w:type="dxa"/>
          <w:right w:w="15" w:type="dxa"/>
        </w:tblCellMar>
        <w:tblLook w:val="04A0" w:firstRow="1" w:lastRow="0" w:firstColumn="1" w:lastColumn="0" w:noHBand="0" w:noVBand="1"/>
      </w:tblPr>
      <w:tblGrid>
        <w:gridCol w:w="1987"/>
        <w:gridCol w:w="6248"/>
      </w:tblGrid>
      <w:tr w:rsidR="007E21C0" w:rsidRPr="001513C0" w:rsidTr="00140EBF">
        <w:trPr>
          <w:trHeight w:val="751"/>
          <w:tblCellSpacing w:w="15" w:type="dxa"/>
        </w:trPr>
        <w:tc>
          <w:tcPr>
            <w:tcW w:w="1179" w:type="pct"/>
            <w:noWrap/>
            <w:hideMark/>
          </w:tcPr>
          <w:p w:rsidR="007E21C0" w:rsidRPr="001513C0" w:rsidRDefault="007E21C0"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766" w:type="pct"/>
            <w:hideMark/>
          </w:tcPr>
          <w:p w:rsidR="007E21C0" w:rsidRPr="001513C0" w:rsidRDefault="007E21C0" w:rsidP="00B9348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Facultad de Odontología Universidad Católica de La Plata y Sociedad Odontológica de La Plata para obtención del grado de Doctor. </w:t>
            </w:r>
          </w:p>
        </w:tc>
      </w:tr>
      <w:tr w:rsidR="007E21C0" w:rsidRPr="001513C0" w:rsidTr="00140EBF">
        <w:trPr>
          <w:trHeight w:val="6498"/>
          <w:tblCellSpacing w:w="15" w:type="dxa"/>
        </w:trPr>
        <w:tc>
          <w:tcPr>
            <w:tcW w:w="1179" w:type="pct"/>
            <w:noWrap/>
            <w:hideMark/>
          </w:tcPr>
          <w:p w:rsidR="007E21C0" w:rsidRPr="001513C0" w:rsidRDefault="007E21C0"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lastRenderedPageBreak/>
              <w:t xml:space="preserve">Resumen(es): </w:t>
            </w:r>
          </w:p>
        </w:tc>
        <w:tc>
          <w:tcPr>
            <w:tcW w:w="3766" w:type="pct"/>
            <w:hideMark/>
          </w:tcPr>
          <w:p w:rsidR="007E21C0" w:rsidRPr="007E21C0" w:rsidRDefault="007E21C0" w:rsidP="00B93480">
            <w:pPr>
              <w:spacing w:after="0" w:line="240" w:lineRule="auto"/>
              <w:rPr>
                <w:rFonts w:ascii="Arial" w:eastAsia="Times New Roman" w:hAnsi="Arial" w:cs="Arial"/>
                <w:sz w:val="20"/>
                <w:szCs w:val="20"/>
              </w:rPr>
            </w:pPr>
            <w:r w:rsidRPr="007E21C0">
              <w:rPr>
                <w:rFonts w:ascii="Arial" w:eastAsia="Times New Roman" w:hAnsi="Arial" w:cs="Arial"/>
                <w:sz w:val="20"/>
                <w:szCs w:val="20"/>
              </w:rPr>
              <w:t xml:space="preserve">La periodontitis es una enfermedad compleja que comprende interacciones intricadas del biofilm con la respuesta inmunoinflamatoria del hospedero y como consecuencia, altera la homeostasis del tejido conjuntivo y óseo. Estos mecanismos se ven modificados por diferentes factores llamados de riesgo, que pueden ser innatos o adquiridos. </w:t>
            </w:r>
          </w:p>
          <w:p w:rsidR="007E21C0" w:rsidRDefault="00D77217" w:rsidP="00B93480">
            <w:pPr>
              <w:spacing w:after="0" w:line="240" w:lineRule="auto"/>
              <w:rPr>
                <w:rFonts w:ascii="Arial" w:eastAsia="Times New Roman" w:hAnsi="Arial" w:cs="Arial"/>
                <w:sz w:val="20"/>
                <w:szCs w:val="20"/>
              </w:rPr>
            </w:pPr>
            <w:r>
              <w:rPr>
                <w:rFonts w:ascii="Arial" w:eastAsia="Times New Roman" w:hAnsi="Arial" w:cs="Arial"/>
                <w:sz w:val="20"/>
                <w:szCs w:val="20"/>
              </w:rPr>
              <w:t>Los músicos ejecutantes de i</w:t>
            </w:r>
            <w:r w:rsidR="007E21C0" w:rsidRPr="007E21C0">
              <w:rPr>
                <w:rFonts w:ascii="Arial" w:eastAsia="Times New Roman" w:hAnsi="Arial" w:cs="Arial"/>
                <w:sz w:val="20"/>
                <w:szCs w:val="20"/>
              </w:rPr>
              <w:t>nstrumentos de vientos con</w:t>
            </w:r>
            <w:r>
              <w:rPr>
                <w:rFonts w:ascii="Arial" w:eastAsia="Times New Roman" w:hAnsi="Arial" w:cs="Arial"/>
                <w:sz w:val="20"/>
                <w:szCs w:val="20"/>
              </w:rPr>
              <w:t>sti</w:t>
            </w:r>
            <w:r w:rsidR="007E21C0" w:rsidRPr="007E21C0">
              <w:rPr>
                <w:rFonts w:ascii="Arial" w:eastAsia="Times New Roman" w:hAnsi="Arial" w:cs="Arial"/>
                <w:sz w:val="20"/>
                <w:szCs w:val="20"/>
              </w:rPr>
              <w:t>tuyen un conjunto numerosos, que difiere de cual</w:t>
            </w:r>
            <w:r>
              <w:rPr>
                <w:rFonts w:ascii="Arial" w:eastAsia="Times New Roman" w:hAnsi="Arial" w:cs="Arial"/>
                <w:sz w:val="20"/>
                <w:szCs w:val="20"/>
              </w:rPr>
              <w:t>q</w:t>
            </w:r>
            <w:r w:rsidR="007E21C0" w:rsidRPr="007E21C0">
              <w:rPr>
                <w:rFonts w:ascii="Arial" w:eastAsia="Times New Roman" w:hAnsi="Arial" w:cs="Arial"/>
                <w:sz w:val="20"/>
                <w:szCs w:val="20"/>
              </w:rPr>
              <w:t>uier otro grupo de pacientes, ya que colocan su oca, labios, maxilares, dientes, lengua y músculos en forma tan diferente a las funciones específicas de comer, hablar y expresarse. Además</w:t>
            </w:r>
            <w:r>
              <w:rPr>
                <w:rFonts w:ascii="Arial" w:eastAsia="Times New Roman" w:hAnsi="Arial" w:cs="Arial"/>
                <w:sz w:val="20"/>
                <w:szCs w:val="20"/>
              </w:rPr>
              <w:t xml:space="preserve">, durante la ejecución del instrumento se generan diferentes fuerzas, que pueden actuar como factor de riesgo para la progresión de la enfermedad periodontal. </w:t>
            </w:r>
          </w:p>
          <w:p w:rsidR="00D77217" w:rsidRDefault="00D77217" w:rsidP="00B93480">
            <w:pPr>
              <w:spacing w:after="0" w:line="240" w:lineRule="auto"/>
              <w:rPr>
                <w:rFonts w:ascii="Arial" w:eastAsia="Times New Roman" w:hAnsi="Arial" w:cs="Arial"/>
                <w:sz w:val="20"/>
                <w:szCs w:val="20"/>
              </w:rPr>
            </w:pPr>
            <w:r>
              <w:rPr>
                <w:rFonts w:ascii="Arial" w:eastAsia="Times New Roman" w:hAnsi="Arial" w:cs="Arial"/>
                <w:sz w:val="20"/>
                <w:szCs w:val="20"/>
              </w:rPr>
              <w:t xml:space="preserve">Actualmente no se conoce ningún dispositivo comercial que permita medir los esfuerzos realizados sobre el diente y sus estructuras de soporte durante la ejecución de instrumentos musicales de viento, </w:t>
            </w:r>
            <w:r w:rsidR="00E54B19">
              <w:rPr>
                <w:rFonts w:ascii="Arial" w:eastAsia="Times New Roman" w:hAnsi="Arial" w:cs="Arial"/>
                <w:sz w:val="20"/>
                <w:szCs w:val="20"/>
              </w:rPr>
              <w:t>aun</w:t>
            </w:r>
            <w:r>
              <w:rPr>
                <w:rFonts w:ascii="Arial" w:eastAsia="Times New Roman" w:hAnsi="Arial" w:cs="Arial"/>
                <w:sz w:val="20"/>
                <w:szCs w:val="20"/>
              </w:rPr>
              <w:t xml:space="preserve"> cuando se conocen algunos trabajos experimentales en temas relacionados. </w:t>
            </w:r>
          </w:p>
          <w:p w:rsidR="00D77217" w:rsidRPr="001513C0" w:rsidRDefault="00D77217" w:rsidP="00D77217">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 xml:space="preserve">El objetivo de este trabajo fue diseñar y aplicar un medidor de fuerzas para facilitar el diagnóstico de las mismas. </w:t>
            </w:r>
            <w:r w:rsidR="00E54B19">
              <w:rPr>
                <w:rFonts w:ascii="Arial" w:eastAsia="Times New Roman" w:hAnsi="Arial" w:cs="Arial"/>
                <w:sz w:val="20"/>
                <w:szCs w:val="20"/>
              </w:rPr>
              <w:t>Está</w:t>
            </w:r>
            <w:r>
              <w:rPr>
                <w:rFonts w:ascii="Arial" w:eastAsia="Times New Roman" w:hAnsi="Arial" w:cs="Arial"/>
                <w:sz w:val="20"/>
                <w:szCs w:val="20"/>
              </w:rPr>
              <w:t xml:space="preserve"> constituido por un sensor adherido a una placa termo adaptable, con el que se obtiene una señal electrónica proporcional a la magnitud de los esfuerzos, que es digitalizada y luego procesada por un microcontrolador, que almacenara los datos obtenido para luego descargarlos a una PC para su correspondiente análisis. Los resultados obtenidos determinaron que puede medir esfuerzos en los músicos, así como, otr</w:t>
            </w:r>
            <w:r w:rsidR="00914608">
              <w:rPr>
                <w:rFonts w:ascii="Arial" w:eastAsia="Times New Roman" w:hAnsi="Arial" w:cs="Arial"/>
                <w:sz w:val="20"/>
                <w:szCs w:val="20"/>
              </w:rPr>
              <w:t>a</w:t>
            </w:r>
            <w:r>
              <w:rPr>
                <w:rFonts w:ascii="Arial" w:eastAsia="Times New Roman" w:hAnsi="Arial" w:cs="Arial"/>
                <w:sz w:val="20"/>
                <w:szCs w:val="20"/>
              </w:rPr>
              <w:t>s fuerzas aplicadas en la cavidad oral, como por ejemplo, durante el cepillado. (AU)</w:t>
            </w:r>
          </w:p>
        </w:tc>
      </w:tr>
      <w:tr w:rsidR="00D77217" w:rsidRPr="001513C0" w:rsidTr="00140EBF">
        <w:trPr>
          <w:trHeight w:val="800"/>
          <w:tblCellSpacing w:w="15" w:type="dxa"/>
        </w:trPr>
        <w:tc>
          <w:tcPr>
            <w:tcW w:w="1179" w:type="pct"/>
            <w:noWrap/>
            <w:hideMark/>
          </w:tcPr>
          <w:p w:rsidR="00D77217" w:rsidRPr="00914608" w:rsidRDefault="00D77217" w:rsidP="00914608">
            <w:pPr>
              <w:spacing w:after="0" w:line="240" w:lineRule="auto"/>
              <w:jc w:val="right"/>
              <w:rPr>
                <w:rFonts w:ascii="Arial" w:eastAsia="Times New Roman" w:hAnsi="Arial" w:cs="Arial"/>
                <w:b/>
                <w:bCs/>
                <w:sz w:val="20"/>
                <w:szCs w:val="20"/>
              </w:rPr>
            </w:pPr>
            <w:r w:rsidRPr="00914608">
              <w:rPr>
                <w:rFonts w:ascii="Arial" w:eastAsia="Times New Roman" w:hAnsi="Arial" w:cs="Arial"/>
                <w:b/>
                <w:bCs/>
                <w:sz w:val="20"/>
                <w:szCs w:val="20"/>
              </w:rPr>
              <w:t xml:space="preserve">Descriptores: </w:t>
            </w:r>
          </w:p>
        </w:tc>
        <w:tc>
          <w:tcPr>
            <w:tcW w:w="3766" w:type="pct"/>
            <w:hideMark/>
          </w:tcPr>
          <w:p w:rsidR="00D77217" w:rsidRPr="00914608" w:rsidRDefault="00D77217" w:rsidP="00914608">
            <w:pPr>
              <w:spacing w:after="0" w:line="240" w:lineRule="auto"/>
              <w:rPr>
                <w:rFonts w:ascii="Arial" w:eastAsia="Times New Roman" w:hAnsi="Arial" w:cs="Arial"/>
                <w:b/>
                <w:bCs/>
                <w:sz w:val="20"/>
                <w:szCs w:val="20"/>
              </w:rPr>
            </w:pPr>
            <w:r w:rsidRPr="00914608">
              <w:rPr>
                <w:rFonts w:ascii="Arial" w:eastAsia="Times New Roman" w:hAnsi="Arial" w:cs="Arial"/>
                <w:sz w:val="20"/>
                <w:szCs w:val="20"/>
              </w:rPr>
              <w:t>Diente</w:t>
            </w:r>
            <w:r w:rsidRPr="00914608">
              <w:rPr>
                <w:rFonts w:ascii="Arial" w:eastAsia="Times New Roman" w:hAnsi="Arial" w:cs="Arial"/>
                <w:sz w:val="20"/>
                <w:szCs w:val="20"/>
              </w:rPr>
              <w:br/>
              <w:t>Música</w:t>
            </w:r>
          </w:p>
        </w:tc>
      </w:tr>
      <w:tr w:rsidR="00D77217" w:rsidRPr="001513C0" w:rsidTr="00140EBF">
        <w:trPr>
          <w:trHeight w:val="506"/>
          <w:tblCellSpacing w:w="15" w:type="dxa"/>
        </w:trPr>
        <w:tc>
          <w:tcPr>
            <w:tcW w:w="1179" w:type="pct"/>
            <w:noWrap/>
            <w:hideMark/>
          </w:tcPr>
          <w:p w:rsidR="00D77217" w:rsidRPr="00914608" w:rsidRDefault="00D77217" w:rsidP="00914608">
            <w:pPr>
              <w:spacing w:after="0" w:line="240" w:lineRule="auto"/>
              <w:jc w:val="right"/>
              <w:rPr>
                <w:rFonts w:ascii="Arial" w:eastAsia="Times New Roman" w:hAnsi="Arial" w:cs="Arial"/>
                <w:b/>
                <w:bCs/>
                <w:sz w:val="20"/>
                <w:szCs w:val="20"/>
              </w:rPr>
            </w:pPr>
            <w:r w:rsidRPr="00914608">
              <w:rPr>
                <w:rFonts w:ascii="Arial" w:eastAsia="Times New Roman" w:hAnsi="Arial" w:cs="Arial"/>
                <w:b/>
                <w:bCs/>
                <w:sz w:val="20"/>
                <w:szCs w:val="20"/>
              </w:rPr>
              <w:t xml:space="preserve">Límites: </w:t>
            </w:r>
          </w:p>
        </w:tc>
        <w:tc>
          <w:tcPr>
            <w:tcW w:w="3766" w:type="pct"/>
            <w:hideMark/>
          </w:tcPr>
          <w:p w:rsidR="00D77217" w:rsidRPr="00914608" w:rsidRDefault="00D77217" w:rsidP="00914608">
            <w:pPr>
              <w:spacing w:after="0" w:line="240" w:lineRule="auto"/>
              <w:rPr>
                <w:rFonts w:ascii="Arial" w:eastAsia="Times New Roman" w:hAnsi="Arial" w:cs="Arial"/>
                <w:b/>
                <w:bCs/>
                <w:sz w:val="20"/>
                <w:szCs w:val="20"/>
              </w:rPr>
            </w:pPr>
            <w:r w:rsidRPr="00914608">
              <w:rPr>
                <w:rFonts w:ascii="Arial" w:eastAsia="Times New Roman" w:hAnsi="Arial" w:cs="Arial"/>
                <w:bCs/>
                <w:sz w:val="20"/>
                <w:szCs w:val="20"/>
              </w:rPr>
              <w:t>H</w:t>
            </w:r>
            <w:r w:rsidRPr="00914608">
              <w:rPr>
                <w:rFonts w:ascii="Arial" w:eastAsia="Times New Roman" w:hAnsi="Arial" w:cs="Arial"/>
                <w:sz w:val="20"/>
                <w:szCs w:val="20"/>
              </w:rPr>
              <w:t>umanos</w:t>
            </w:r>
          </w:p>
        </w:tc>
      </w:tr>
      <w:tr w:rsidR="00D77217" w:rsidRPr="001513C0" w:rsidTr="00140EBF">
        <w:trPr>
          <w:trHeight w:val="506"/>
          <w:tblCellSpacing w:w="15" w:type="dxa"/>
        </w:trPr>
        <w:tc>
          <w:tcPr>
            <w:tcW w:w="1179" w:type="pct"/>
            <w:noWrap/>
            <w:hideMark/>
          </w:tcPr>
          <w:p w:rsidR="00D77217" w:rsidRPr="00914608" w:rsidRDefault="00D77217" w:rsidP="00914608">
            <w:pPr>
              <w:spacing w:after="0" w:line="240" w:lineRule="auto"/>
              <w:jc w:val="right"/>
              <w:rPr>
                <w:rFonts w:ascii="Arial" w:eastAsia="Times New Roman" w:hAnsi="Arial" w:cs="Arial"/>
                <w:b/>
                <w:bCs/>
                <w:sz w:val="20"/>
                <w:szCs w:val="20"/>
              </w:rPr>
            </w:pPr>
            <w:r w:rsidRPr="00914608">
              <w:rPr>
                <w:rFonts w:ascii="Arial" w:eastAsia="Times New Roman" w:hAnsi="Arial" w:cs="Arial"/>
                <w:b/>
                <w:bCs/>
                <w:sz w:val="20"/>
                <w:szCs w:val="20"/>
              </w:rPr>
              <w:t xml:space="preserve">Localización: </w:t>
            </w:r>
          </w:p>
        </w:tc>
        <w:tc>
          <w:tcPr>
            <w:tcW w:w="3766" w:type="pct"/>
            <w:hideMark/>
          </w:tcPr>
          <w:p w:rsidR="00D77217" w:rsidRPr="00914608" w:rsidRDefault="00D77217" w:rsidP="00914608">
            <w:pPr>
              <w:spacing w:after="0" w:line="240" w:lineRule="auto"/>
              <w:rPr>
                <w:rFonts w:ascii="Arial" w:eastAsia="Times New Roman" w:hAnsi="Arial" w:cs="Arial"/>
                <w:b/>
                <w:bCs/>
                <w:sz w:val="20"/>
                <w:szCs w:val="20"/>
              </w:rPr>
            </w:pPr>
            <w:r w:rsidRPr="00914608">
              <w:rPr>
                <w:rFonts w:ascii="Arial" w:eastAsia="Times New Roman" w:hAnsi="Arial" w:cs="Arial"/>
                <w:sz w:val="20"/>
                <w:szCs w:val="20"/>
              </w:rPr>
              <w:t>Tesis 10 1908</w:t>
            </w:r>
            <w:r w:rsidRPr="00914608">
              <w:rPr>
                <w:rFonts w:ascii="Arial" w:eastAsia="Times New Roman" w:hAnsi="Arial" w:cs="Arial"/>
                <w:b/>
                <w:bCs/>
                <w:sz w:val="20"/>
                <w:szCs w:val="20"/>
              </w:rPr>
              <w:t xml:space="preserve"> </w:t>
            </w:r>
          </w:p>
        </w:tc>
      </w:tr>
      <w:tr w:rsidR="00140EBF" w:rsidRPr="001513C0" w:rsidTr="00140EBF">
        <w:trPr>
          <w:trHeight w:val="506"/>
          <w:tblCellSpacing w:w="15" w:type="dxa"/>
        </w:trPr>
        <w:tc>
          <w:tcPr>
            <w:tcW w:w="1179"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766"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7E21C0" w:rsidRPr="005D1312" w:rsidRDefault="007E21C0" w:rsidP="005D1312">
      <w:pPr>
        <w:tabs>
          <w:tab w:val="left" w:pos="2032"/>
        </w:tabs>
        <w:spacing w:after="0" w:line="240" w:lineRule="auto"/>
        <w:ind w:left="360"/>
        <w:jc w:val="both"/>
        <w:rPr>
          <w:rFonts w:ascii="Arial" w:eastAsia="Times New Roman" w:hAnsi="Arial" w:cs="Arial"/>
          <w:sz w:val="20"/>
          <w:szCs w:val="20"/>
        </w:rPr>
      </w:pPr>
    </w:p>
    <w:p w:rsidR="00CA5D5B" w:rsidRDefault="00CA5D5B" w:rsidP="005D1312">
      <w:pPr>
        <w:tabs>
          <w:tab w:val="left" w:pos="2032"/>
        </w:tabs>
        <w:spacing w:after="0" w:line="240" w:lineRule="auto"/>
        <w:ind w:left="45"/>
        <w:jc w:val="both"/>
        <w:rPr>
          <w:rFonts w:ascii="Arial" w:eastAsia="Times New Roman" w:hAnsi="Arial" w:cs="Arial"/>
          <w:sz w:val="20"/>
          <w:szCs w:val="20"/>
        </w:rPr>
      </w:pPr>
    </w:p>
    <w:p w:rsidR="005D1312" w:rsidRDefault="00B34AD7" w:rsidP="005D1312">
      <w:pPr>
        <w:tabs>
          <w:tab w:val="left" w:pos="2032"/>
        </w:tabs>
        <w:spacing w:after="0" w:line="240" w:lineRule="auto"/>
        <w:ind w:left="360"/>
        <w:jc w:val="both"/>
        <w:rPr>
          <w:rFonts w:ascii="Arial" w:eastAsia="Times New Roman" w:hAnsi="Arial" w:cs="Arial"/>
          <w:sz w:val="20"/>
          <w:szCs w:val="20"/>
        </w:rPr>
      </w:pPr>
      <w:r w:rsidRPr="005D1312">
        <w:rPr>
          <w:rFonts w:ascii="Arial" w:eastAsia="Times New Roman" w:hAnsi="Arial" w:cs="Arial"/>
          <w:sz w:val="20"/>
          <w:szCs w:val="20"/>
        </w:rPr>
        <w:t xml:space="preserve">Minervini, María del Carmen. </w:t>
      </w:r>
      <w:r w:rsidR="001513C0">
        <w:rPr>
          <w:rFonts w:ascii="Arial" w:eastAsia="Times New Roman" w:hAnsi="Arial" w:cs="Arial"/>
          <w:b/>
          <w:sz w:val="20"/>
          <w:szCs w:val="20"/>
          <w:u w:val="single"/>
        </w:rPr>
        <w:t>Relaciones intermax</w:t>
      </w:r>
      <w:r w:rsidRPr="005D1312">
        <w:rPr>
          <w:rFonts w:ascii="Arial" w:eastAsia="Times New Roman" w:hAnsi="Arial" w:cs="Arial"/>
          <w:b/>
          <w:sz w:val="20"/>
          <w:szCs w:val="20"/>
          <w:u w:val="single"/>
        </w:rPr>
        <w:t xml:space="preserve">ilares: puntos de partida en </w:t>
      </w:r>
      <w:r w:rsidR="00E54B19" w:rsidRPr="005D1312">
        <w:rPr>
          <w:rFonts w:ascii="Arial" w:eastAsia="Times New Roman" w:hAnsi="Arial" w:cs="Arial"/>
          <w:b/>
          <w:sz w:val="20"/>
          <w:szCs w:val="20"/>
          <w:u w:val="single"/>
        </w:rPr>
        <w:t>Odontoestomatología</w:t>
      </w:r>
      <w:r w:rsidRPr="005D1312">
        <w:rPr>
          <w:rFonts w:ascii="Arial" w:eastAsia="Times New Roman" w:hAnsi="Arial" w:cs="Arial"/>
          <w:sz w:val="20"/>
          <w:szCs w:val="20"/>
        </w:rPr>
        <w:t xml:space="preserve">. La Plata; Facultad de Odontología UCALP- SOLP; 2009  58 p. </w:t>
      </w:r>
    </w:p>
    <w:tbl>
      <w:tblPr>
        <w:tblW w:w="4842" w:type="pct"/>
        <w:tblCellSpacing w:w="15" w:type="dxa"/>
        <w:tblCellMar>
          <w:top w:w="15" w:type="dxa"/>
          <w:left w:w="15" w:type="dxa"/>
          <w:bottom w:w="15" w:type="dxa"/>
          <w:right w:w="15" w:type="dxa"/>
        </w:tblCellMar>
        <w:tblLook w:val="04A0" w:firstRow="1" w:lastRow="0" w:firstColumn="1" w:lastColumn="0" w:noHBand="0" w:noVBand="1"/>
      </w:tblPr>
      <w:tblGrid>
        <w:gridCol w:w="1987"/>
        <w:gridCol w:w="6248"/>
      </w:tblGrid>
      <w:tr w:rsidR="00914608" w:rsidRPr="001513C0" w:rsidTr="00140EBF">
        <w:trPr>
          <w:trHeight w:val="751"/>
          <w:tblCellSpacing w:w="15" w:type="dxa"/>
        </w:trPr>
        <w:tc>
          <w:tcPr>
            <w:tcW w:w="1179" w:type="pct"/>
            <w:noWrap/>
            <w:hideMark/>
          </w:tcPr>
          <w:p w:rsidR="00914608" w:rsidRPr="001513C0" w:rsidRDefault="00914608"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766" w:type="pct"/>
            <w:hideMark/>
          </w:tcPr>
          <w:p w:rsidR="00914608" w:rsidRPr="001513C0" w:rsidRDefault="00914608" w:rsidP="00B9348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Facultad de Odontología Universidad Católica de La Plata y Sociedad Odontológica de La Plata para obtención del grado de Doctor. </w:t>
            </w:r>
          </w:p>
        </w:tc>
      </w:tr>
      <w:tr w:rsidR="00914608" w:rsidRPr="001513C0" w:rsidTr="00140EBF">
        <w:trPr>
          <w:trHeight w:val="5387"/>
          <w:tblCellSpacing w:w="15" w:type="dxa"/>
        </w:trPr>
        <w:tc>
          <w:tcPr>
            <w:tcW w:w="1179" w:type="pct"/>
            <w:noWrap/>
            <w:hideMark/>
          </w:tcPr>
          <w:p w:rsidR="00914608" w:rsidRPr="001513C0" w:rsidRDefault="00914608"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lastRenderedPageBreak/>
              <w:t xml:space="preserve">Resumen(es): </w:t>
            </w:r>
          </w:p>
        </w:tc>
        <w:tc>
          <w:tcPr>
            <w:tcW w:w="3766" w:type="pct"/>
            <w:hideMark/>
          </w:tcPr>
          <w:p w:rsidR="00914608" w:rsidRDefault="00914608" w:rsidP="00B93480">
            <w:pPr>
              <w:spacing w:after="0" w:line="240" w:lineRule="auto"/>
              <w:rPr>
                <w:rFonts w:ascii="Arial" w:eastAsia="Times New Roman" w:hAnsi="Arial" w:cs="Arial"/>
                <w:sz w:val="20"/>
                <w:szCs w:val="20"/>
              </w:rPr>
            </w:pPr>
            <w:r>
              <w:rPr>
                <w:rFonts w:ascii="Arial" w:eastAsia="Times New Roman" w:hAnsi="Arial" w:cs="Arial"/>
                <w:sz w:val="20"/>
                <w:szCs w:val="20"/>
              </w:rPr>
              <w:t xml:space="preserve">El objetivo del presente trabajo es la relación dentaria entre ambos maxilares dependiendo de la posición que adopta la mandíbula con respecto al cráneo. </w:t>
            </w:r>
          </w:p>
          <w:p w:rsidR="00914608" w:rsidRDefault="00914608" w:rsidP="00B93480">
            <w:pPr>
              <w:spacing w:after="0" w:line="240" w:lineRule="auto"/>
              <w:rPr>
                <w:rFonts w:ascii="Arial" w:eastAsia="Times New Roman" w:hAnsi="Arial" w:cs="Arial"/>
                <w:sz w:val="20"/>
                <w:szCs w:val="20"/>
              </w:rPr>
            </w:pPr>
            <w:r>
              <w:rPr>
                <w:rFonts w:ascii="Arial" w:eastAsia="Times New Roman" w:hAnsi="Arial" w:cs="Arial"/>
                <w:sz w:val="20"/>
                <w:szCs w:val="20"/>
              </w:rPr>
              <w:t xml:space="preserve">También analizar el reclutamiento de unidades (fibras) motoras por medios bioelectrónicos en dos posiciones mandibulares diferentes. Para el primer objetivo se analizaron 84 modelos de pacientes de la práctica privada a quienes se les tomó: 1. Registro de la </w:t>
            </w:r>
            <w:r w:rsidR="00E54B19">
              <w:rPr>
                <w:rFonts w:ascii="Arial" w:eastAsia="Times New Roman" w:hAnsi="Arial" w:cs="Arial"/>
                <w:sz w:val="20"/>
                <w:szCs w:val="20"/>
              </w:rPr>
              <w:t>oclusión</w:t>
            </w:r>
            <w:r>
              <w:rPr>
                <w:rFonts w:ascii="Arial" w:eastAsia="Times New Roman" w:hAnsi="Arial" w:cs="Arial"/>
                <w:sz w:val="20"/>
                <w:szCs w:val="20"/>
              </w:rPr>
              <w:t xml:space="preserve"> habitual; 2. Registro de Relación Céntrica con técnica del Dr. Roth; 3. Registro de la posición Neuromuscular luego de la aplicación del TENS (Electro Estimulador Neural Transcutáneo) de Bernard Jankelson. </w:t>
            </w:r>
          </w:p>
          <w:p w:rsidR="00914608" w:rsidRDefault="00914608" w:rsidP="00B93480">
            <w:pPr>
              <w:spacing w:after="0" w:line="240" w:lineRule="auto"/>
              <w:rPr>
                <w:rFonts w:ascii="Arial" w:eastAsia="Times New Roman" w:hAnsi="Arial" w:cs="Arial"/>
                <w:sz w:val="20"/>
                <w:szCs w:val="20"/>
              </w:rPr>
            </w:pPr>
            <w:r>
              <w:rPr>
                <w:rFonts w:ascii="Arial" w:eastAsia="Times New Roman" w:hAnsi="Arial" w:cs="Arial"/>
                <w:sz w:val="20"/>
                <w:szCs w:val="20"/>
              </w:rPr>
              <w:t xml:space="preserve">Se analizó en sentido </w:t>
            </w:r>
            <w:r w:rsidR="00E54B19">
              <w:rPr>
                <w:rFonts w:ascii="Arial" w:eastAsia="Times New Roman" w:hAnsi="Arial" w:cs="Arial"/>
                <w:sz w:val="20"/>
                <w:szCs w:val="20"/>
              </w:rPr>
              <w:t>sagital</w:t>
            </w:r>
            <w:r>
              <w:rPr>
                <w:rFonts w:ascii="Arial" w:eastAsia="Times New Roman" w:hAnsi="Arial" w:cs="Arial"/>
                <w:sz w:val="20"/>
                <w:szCs w:val="20"/>
              </w:rPr>
              <w:t xml:space="preserve"> y en milímetros la diferencia existente entre Relación Céntrica y oclusión Habitual y se observó que en la mayoría de los casos la Relación Céntrica se encuentra hacia Distal de la Oclusión Habitual. Lo mismo se hizo con la posición Neuromuscular que coincida o se encontraba a Mesial de la Oclusión Habitual. </w:t>
            </w:r>
          </w:p>
          <w:p w:rsidR="00914608" w:rsidRPr="001513C0" w:rsidRDefault="00914608" w:rsidP="00B93480">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 xml:space="preserve">Para el segundo objetivo se tomaron registros de Electromiografía de Superficie (EMG) para comprobar el reclutamiento de unidades motoras medido en microVolts con una y otra relación intermaxilar. Para ello se emplea el “Sistema de Evaluación K7” de Myotronics. El resultado fue comprobación de mayor grado de reclutamiento en los casos de Posición Neuromuscular. (AU) </w:t>
            </w:r>
          </w:p>
        </w:tc>
      </w:tr>
      <w:tr w:rsidR="00140EBF" w:rsidRPr="001513C0" w:rsidTr="00140EBF">
        <w:trPr>
          <w:trHeight w:val="547"/>
          <w:tblCellSpacing w:w="15" w:type="dxa"/>
        </w:trPr>
        <w:tc>
          <w:tcPr>
            <w:tcW w:w="1179"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766"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914608" w:rsidRDefault="00914608" w:rsidP="005D1312">
      <w:pPr>
        <w:tabs>
          <w:tab w:val="left" w:pos="2032"/>
        </w:tabs>
        <w:spacing w:after="0" w:line="240" w:lineRule="auto"/>
        <w:ind w:left="360"/>
        <w:jc w:val="both"/>
        <w:rPr>
          <w:rFonts w:ascii="Arial" w:eastAsia="Times New Roman" w:hAnsi="Arial" w:cs="Arial"/>
          <w:sz w:val="20"/>
          <w:szCs w:val="20"/>
        </w:rPr>
      </w:pPr>
    </w:p>
    <w:p w:rsidR="005D1312" w:rsidRDefault="005D1312" w:rsidP="005D1312">
      <w:pPr>
        <w:tabs>
          <w:tab w:val="left" w:pos="2032"/>
        </w:tabs>
        <w:spacing w:after="0" w:line="240" w:lineRule="auto"/>
        <w:ind w:left="360"/>
        <w:jc w:val="both"/>
        <w:rPr>
          <w:rFonts w:ascii="Arial" w:eastAsia="Times New Roman" w:hAnsi="Arial" w:cs="Arial"/>
          <w:sz w:val="20"/>
          <w:szCs w:val="20"/>
        </w:rPr>
      </w:pPr>
      <w:r>
        <w:rPr>
          <w:rFonts w:ascii="Arial" w:eastAsia="Times New Roman" w:hAnsi="Arial" w:cs="Arial"/>
          <w:sz w:val="20"/>
          <w:szCs w:val="20"/>
        </w:rPr>
        <w:t xml:space="preserve">Stacchiotti, Zulma Analía. </w:t>
      </w:r>
      <w:r w:rsidRPr="005D1312">
        <w:rPr>
          <w:rFonts w:ascii="Arial" w:eastAsia="Times New Roman" w:hAnsi="Arial" w:cs="Arial"/>
          <w:b/>
          <w:sz w:val="20"/>
          <w:szCs w:val="20"/>
          <w:u w:val="single"/>
        </w:rPr>
        <w:t xml:space="preserve">Estudio comparativo en la </w:t>
      </w:r>
      <w:r w:rsidR="00E54B19" w:rsidRPr="005D1312">
        <w:rPr>
          <w:rFonts w:ascii="Arial" w:eastAsia="Times New Roman" w:hAnsi="Arial" w:cs="Arial"/>
          <w:b/>
          <w:sz w:val="20"/>
          <w:szCs w:val="20"/>
          <w:u w:val="single"/>
        </w:rPr>
        <w:t>conformación</w:t>
      </w:r>
      <w:r w:rsidRPr="005D1312">
        <w:rPr>
          <w:rFonts w:ascii="Arial" w:eastAsia="Times New Roman" w:hAnsi="Arial" w:cs="Arial"/>
          <w:b/>
          <w:sz w:val="20"/>
          <w:szCs w:val="20"/>
          <w:u w:val="single"/>
        </w:rPr>
        <w:t xml:space="preserve"> del tercio apical con técnicas diferentes de instrumentación: manual y rotatoria</w:t>
      </w:r>
      <w:r>
        <w:rPr>
          <w:rFonts w:ascii="Arial" w:eastAsia="Times New Roman" w:hAnsi="Arial" w:cs="Arial"/>
          <w:sz w:val="20"/>
          <w:szCs w:val="20"/>
        </w:rPr>
        <w:t xml:space="preserve">. </w:t>
      </w:r>
      <w:r w:rsidRPr="005D1312">
        <w:rPr>
          <w:rFonts w:ascii="Arial" w:eastAsia="Times New Roman" w:hAnsi="Arial" w:cs="Arial"/>
          <w:sz w:val="20"/>
          <w:szCs w:val="20"/>
        </w:rPr>
        <w:t>La Plata; Facultad de O</w:t>
      </w:r>
      <w:r>
        <w:rPr>
          <w:rFonts w:ascii="Arial" w:eastAsia="Times New Roman" w:hAnsi="Arial" w:cs="Arial"/>
          <w:sz w:val="20"/>
          <w:szCs w:val="20"/>
        </w:rPr>
        <w:t>dontología UCALP- SOLP; 2009  110</w:t>
      </w:r>
      <w:r w:rsidRPr="005D1312">
        <w:rPr>
          <w:rFonts w:ascii="Arial" w:eastAsia="Times New Roman" w:hAnsi="Arial" w:cs="Arial"/>
          <w:sz w:val="20"/>
          <w:szCs w:val="20"/>
        </w:rPr>
        <w:t xml:space="preserve"> 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7"/>
        <w:gridCol w:w="6517"/>
      </w:tblGrid>
      <w:tr w:rsidR="007847DA" w:rsidRPr="001513C0" w:rsidTr="00140EBF">
        <w:trPr>
          <w:tblCellSpacing w:w="15" w:type="dxa"/>
        </w:trPr>
        <w:tc>
          <w:tcPr>
            <w:tcW w:w="1142" w:type="pct"/>
            <w:noWrap/>
            <w:hideMark/>
          </w:tcPr>
          <w:p w:rsidR="007847DA" w:rsidRPr="001513C0" w:rsidRDefault="007847DA"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Trabajo Académico: </w:t>
            </w:r>
          </w:p>
        </w:tc>
        <w:tc>
          <w:tcPr>
            <w:tcW w:w="3805" w:type="pct"/>
            <w:hideMark/>
          </w:tcPr>
          <w:p w:rsidR="007847DA" w:rsidRPr="001513C0" w:rsidRDefault="007847DA" w:rsidP="00B93480">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 xml:space="preserve">Apresentada la Facultad de Odontología Universidad Católica de La Plata y Sociedad Odontológica de La Plata para obtención del grado de Doctor. </w:t>
            </w:r>
          </w:p>
        </w:tc>
      </w:tr>
      <w:tr w:rsidR="007847DA" w:rsidRPr="001513C0" w:rsidTr="00140EBF">
        <w:trPr>
          <w:tblCellSpacing w:w="15" w:type="dxa"/>
        </w:trPr>
        <w:tc>
          <w:tcPr>
            <w:tcW w:w="1142" w:type="pct"/>
            <w:noWrap/>
            <w:hideMark/>
          </w:tcPr>
          <w:p w:rsidR="007847DA" w:rsidRPr="001513C0" w:rsidRDefault="007847DA"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Resumen(es): </w:t>
            </w:r>
          </w:p>
        </w:tc>
        <w:tc>
          <w:tcPr>
            <w:tcW w:w="3805" w:type="pct"/>
            <w:hideMark/>
          </w:tcPr>
          <w:p w:rsidR="007847DA" w:rsidRPr="007847DA" w:rsidRDefault="007847DA" w:rsidP="00B93480">
            <w:pPr>
              <w:spacing w:after="0" w:line="240" w:lineRule="auto"/>
              <w:rPr>
                <w:rFonts w:ascii="Arial" w:eastAsia="Times New Roman" w:hAnsi="Arial" w:cs="Arial"/>
                <w:sz w:val="20"/>
                <w:szCs w:val="20"/>
              </w:rPr>
            </w:pPr>
            <w:r w:rsidRPr="007847DA">
              <w:rPr>
                <w:rFonts w:ascii="Arial" w:eastAsia="Times New Roman" w:hAnsi="Arial" w:cs="Arial"/>
                <w:sz w:val="20"/>
                <w:szCs w:val="20"/>
              </w:rPr>
              <w:t xml:space="preserve">El objetivo de este estudio es evaluar in vitro el grado de transporte foraminal en la conformación del tercio apical de piezas dentarias unirradiculares humanas, empleando dos sistemas de conformación, manual, con Limas K cuadrangulares y mecánico con el sistema RaCe y S-Apex de níquel-titanio. </w:t>
            </w:r>
          </w:p>
          <w:p w:rsidR="007847DA" w:rsidRPr="001513C0" w:rsidRDefault="007847DA" w:rsidP="00B93480">
            <w:pPr>
              <w:spacing w:after="0" w:line="240" w:lineRule="auto"/>
              <w:rPr>
                <w:rFonts w:ascii="Times New Roman" w:eastAsia="Times New Roman" w:hAnsi="Times New Roman" w:cs="Times New Roman"/>
                <w:sz w:val="24"/>
                <w:szCs w:val="24"/>
              </w:rPr>
            </w:pPr>
            <w:r w:rsidRPr="007847DA">
              <w:rPr>
                <w:rFonts w:ascii="Arial" w:eastAsia="Times New Roman" w:hAnsi="Arial" w:cs="Arial"/>
                <w:sz w:val="20"/>
                <w:szCs w:val="20"/>
              </w:rPr>
              <w:t>Se seleccionaron cincuenta especímenes a los que se le tomaron dos imágenes (foramen virgen y pos conformado) con Rx y con microscopio electrónico de barrido (MEB). Se conformaron con la técnica combinada. Las imágenes del MEB fueron analizadas con el programa Photo Shop CS 3 y Autocad para procesar imágenes, medir áreas, perímetro y curvaturas. Se evaluó el transporte apical, encontrando diferencias significativas entre los dos sistemas. (AU)</w:t>
            </w:r>
          </w:p>
        </w:tc>
      </w:tr>
      <w:tr w:rsidR="007847DA" w:rsidRPr="001513C0" w:rsidTr="00140EBF">
        <w:trPr>
          <w:tblCellSpacing w:w="15" w:type="dxa"/>
        </w:trPr>
        <w:tc>
          <w:tcPr>
            <w:tcW w:w="1142" w:type="pct"/>
            <w:noWrap/>
            <w:hideMark/>
          </w:tcPr>
          <w:p w:rsidR="007847DA" w:rsidRPr="001513C0" w:rsidRDefault="007847DA"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Descriptores: </w:t>
            </w:r>
          </w:p>
        </w:tc>
        <w:tc>
          <w:tcPr>
            <w:tcW w:w="3805" w:type="pct"/>
            <w:hideMark/>
          </w:tcPr>
          <w:p w:rsidR="007847DA" w:rsidRPr="001513C0" w:rsidRDefault="007847DA" w:rsidP="00B93480">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Instrumentos dentales</w:t>
            </w:r>
          </w:p>
        </w:tc>
      </w:tr>
      <w:tr w:rsidR="007847DA" w:rsidRPr="001513C0" w:rsidTr="00140EBF">
        <w:trPr>
          <w:tblCellSpacing w:w="15" w:type="dxa"/>
        </w:trPr>
        <w:tc>
          <w:tcPr>
            <w:tcW w:w="1142" w:type="pct"/>
            <w:noWrap/>
            <w:hideMark/>
          </w:tcPr>
          <w:p w:rsidR="007847DA" w:rsidRPr="001513C0" w:rsidRDefault="007847DA"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Localización: </w:t>
            </w:r>
          </w:p>
        </w:tc>
        <w:tc>
          <w:tcPr>
            <w:tcW w:w="3805" w:type="pct"/>
            <w:hideMark/>
          </w:tcPr>
          <w:p w:rsidR="007847DA" w:rsidRPr="001513C0" w:rsidRDefault="007847DA" w:rsidP="007847DA">
            <w:pPr>
              <w:spacing w:after="0" w:line="240" w:lineRule="auto"/>
              <w:rPr>
                <w:rFonts w:ascii="Times New Roman" w:eastAsia="Times New Roman" w:hAnsi="Times New Roman" w:cs="Times New Roman"/>
                <w:sz w:val="24"/>
                <w:szCs w:val="24"/>
              </w:rPr>
            </w:pPr>
            <w:r w:rsidRPr="001513C0">
              <w:rPr>
                <w:rFonts w:ascii="Arial" w:eastAsia="Times New Roman" w:hAnsi="Arial" w:cs="Arial"/>
                <w:sz w:val="20"/>
                <w:szCs w:val="20"/>
              </w:rPr>
              <w:t>AR295.1; Te1</w:t>
            </w:r>
            <w:r>
              <w:rPr>
                <w:rFonts w:ascii="Arial" w:eastAsia="Times New Roman" w:hAnsi="Arial" w:cs="Arial"/>
                <w:sz w:val="20"/>
                <w:szCs w:val="20"/>
              </w:rPr>
              <w:t>2 2009 2183</w:t>
            </w:r>
            <w:r w:rsidRPr="001513C0">
              <w:rPr>
                <w:rFonts w:ascii="Arial" w:eastAsia="Times New Roman" w:hAnsi="Arial" w:cs="Arial"/>
                <w:sz w:val="20"/>
                <w:szCs w:val="20"/>
              </w:rPr>
              <w:t xml:space="preserve"> </w:t>
            </w:r>
          </w:p>
        </w:tc>
      </w:tr>
      <w:tr w:rsidR="007847DA" w:rsidRPr="001513C0" w:rsidTr="00140EBF">
        <w:trPr>
          <w:tblCellSpacing w:w="15" w:type="dxa"/>
        </w:trPr>
        <w:tc>
          <w:tcPr>
            <w:tcW w:w="1142" w:type="pct"/>
            <w:noWrap/>
            <w:hideMark/>
          </w:tcPr>
          <w:p w:rsidR="007847DA" w:rsidRPr="001513C0" w:rsidRDefault="007847DA" w:rsidP="00B93480">
            <w:pPr>
              <w:spacing w:after="0" w:line="240" w:lineRule="auto"/>
              <w:jc w:val="right"/>
              <w:rPr>
                <w:rFonts w:ascii="Times New Roman" w:eastAsia="Times New Roman" w:hAnsi="Times New Roman" w:cs="Times New Roman"/>
                <w:sz w:val="24"/>
                <w:szCs w:val="24"/>
              </w:rPr>
            </w:pPr>
            <w:r w:rsidRPr="001513C0">
              <w:rPr>
                <w:rFonts w:ascii="Arial" w:eastAsia="Times New Roman" w:hAnsi="Arial" w:cs="Arial"/>
                <w:b/>
                <w:bCs/>
                <w:sz w:val="20"/>
                <w:szCs w:val="20"/>
              </w:rPr>
              <w:t xml:space="preserve">Orientador: </w:t>
            </w:r>
          </w:p>
        </w:tc>
        <w:tc>
          <w:tcPr>
            <w:tcW w:w="3805" w:type="pct"/>
            <w:hideMark/>
          </w:tcPr>
          <w:p w:rsidR="007847DA" w:rsidRPr="001513C0" w:rsidRDefault="007847DA" w:rsidP="00B93480">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María Teresa Cañete</w:t>
            </w:r>
          </w:p>
        </w:tc>
      </w:tr>
      <w:tr w:rsidR="00140EBF" w:rsidRPr="001513C0" w:rsidTr="00140EBF">
        <w:trPr>
          <w:tblCellSpacing w:w="15" w:type="dxa"/>
        </w:trPr>
        <w:tc>
          <w:tcPr>
            <w:tcW w:w="1142" w:type="pct"/>
            <w:noWrap/>
            <w:hideMark/>
          </w:tcPr>
          <w:p w:rsidR="00140EBF" w:rsidRPr="001513C0" w:rsidRDefault="00140EBF" w:rsidP="00B93480">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rPr>
              <w:t>Biblioteca</w:t>
            </w:r>
          </w:p>
        </w:tc>
        <w:tc>
          <w:tcPr>
            <w:tcW w:w="3805" w:type="pct"/>
            <w:hideMark/>
          </w:tcPr>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Sociedad Odontológica de La Plata</w:t>
            </w:r>
          </w:p>
          <w:p w:rsidR="00140EBF"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13 Nro. 680 -8vo. Piso</w:t>
            </w:r>
          </w:p>
          <w:p w:rsidR="00140EBF" w:rsidRPr="001513C0" w:rsidRDefault="00140EBF" w:rsidP="00B93480">
            <w:pPr>
              <w:spacing w:after="0" w:line="240" w:lineRule="auto"/>
              <w:rPr>
                <w:rFonts w:ascii="Arial" w:eastAsia="Times New Roman" w:hAnsi="Arial" w:cs="Arial"/>
                <w:sz w:val="20"/>
                <w:szCs w:val="20"/>
              </w:rPr>
            </w:pPr>
            <w:r>
              <w:rPr>
                <w:rFonts w:ascii="Arial" w:eastAsia="Times New Roman" w:hAnsi="Arial" w:cs="Arial"/>
                <w:sz w:val="20"/>
                <w:szCs w:val="20"/>
              </w:rPr>
              <w:t>biblioteca@solp.org.ar</w:t>
            </w:r>
          </w:p>
        </w:tc>
      </w:tr>
    </w:tbl>
    <w:p w:rsidR="007847DA" w:rsidRPr="005D1312" w:rsidRDefault="007847DA" w:rsidP="005D1312">
      <w:pPr>
        <w:tabs>
          <w:tab w:val="left" w:pos="2032"/>
        </w:tabs>
        <w:spacing w:after="0" w:line="240" w:lineRule="auto"/>
        <w:ind w:left="360"/>
        <w:jc w:val="both"/>
        <w:rPr>
          <w:rFonts w:ascii="Arial" w:eastAsia="Times New Roman" w:hAnsi="Arial" w:cs="Arial"/>
          <w:sz w:val="20"/>
          <w:szCs w:val="20"/>
        </w:rPr>
      </w:pPr>
    </w:p>
    <w:p w:rsidR="00B34AD7" w:rsidRDefault="00B34AD7" w:rsidP="00CA5D5B">
      <w:pPr>
        <w:tabs>
          <w:tab w:val="left" w:pos="2032"/>
        </w:tabs>
        <w:spacing w:after="0" w:line="240" w:lineRule="auto"/>
        <w:ind w:left="45"/>
        <w:rPr>
          <w:rFonts w:ascii="Arial" w:eastAsia="Times New Roman" w:hAnsi="Arial" w:cs="Arial"/>
          <w:sz w:val="20"/>
          <w:szCs w:val="20"/>
        </w:rPr>
      </w:pPr>
    </w:p>
    <w:p w:rsidR="00B34AD7" w:rsidRPr="00CA5D5B" w:rsidRDefault="00B34AD7" w:rsidP="00CA5D5B">
      <w:pPr>
        <w:tabs>
          <w:tab w:val="left" w:pos="2032"/>
        </w:tabs>
        <w:spacing w:after="0" w:line="240" w:lineRule="auto"/>
        <w:ind w:left="45"/>
        <w:rPr>
          <w:rFonts w:ascii="Arial" w:eastAsia="Times New Roman" w:hAnsi="Arial" w:cs="Arial"/>
          <w:sz w:val="20"/>
          <w:szCs w:val="20"/>
        </w:rPr>
      </w:pPr>
    </w:p>
    <w:sectPr w:rsidR="00B34AD7" w:rsidRPr="00CA5D5B" w:rsidSect="0021280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E8D" w:rsidRDefault="00571E8D" w:rsidP="00B51CA6">
      <w:pPr>
        <w:spacing w:after="0" w:line="240" w:lineRule="auto"/>
      </w:pPr>
      <w:r>
        <w:separator/>
      </w:r>
    </w:p>
  </w:endnote>
  <w:endnote w:type="continuationSeparator" w:id="0">
    <w:p w:rsidR="00571E8D" w:rsidRDefault="00571E8D" w:rsidP="00B5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E8D" w:rsidRDefault="00571E8D" w:rsidP="00B51CA6">
      <w:pPr>
        <w:spacing w:after="0" w:line="240" w:lineRule="auto"/>
      </w:pPr>
      <w:r>
        <w:separator/>
      </w:r>
    </w:p>
  </w:footnote>
  <w:footnote w:type="continuationSeparator" w:id="0">
    <w:p w:rsidR="00571E8D" w:rsidRDefault="00571E8D" w:rsidP="00B51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CA6" w:rsidRDefault="00B51CA6">
    <w:pPr>
      <w:pStyle w:val="Encabezado"/>
    </w:pPr>
    <w:r>
      <w:rPr>
        <w:noProof/>
      </w:rPr>
      <w:drawing>
        <wp:inline distT="0" distB="0" distL="0" distR="0">
          <wp:extent cx="5400040" cy="8458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45886"/>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15A2C"/>
    <w:multiLevelType w:val="hybridMultilevel"/>
    <w:tmpl w:val="453CA5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5B"/>
    <w:rsid w:val="00140EBF"/>
    <w:rsid w:val="001513C0"/>
    <w:rsid w:val="00212801"/>
    <w:rsid w:val="00246DFF"/>
    <w:rsid w:val="00473316"/>
    <w:rsid w:val="004D6D93"/>
    <w:rsid w:val="00571E8D"/>
    <w:rsid w:val="005D1312"/>
    <w:rsid w:val="007847DA"/>
    <w:rsid w:val="007E21C0"/>
    <w:rsid w:val="00914608"/>
    <w:rsid w:val="00B34AD7"/>
    <w:rsid w:val="00B51CA6"/>
    <w:rsid w:val="00B529CC"/>
    <w:rsid w:val="00CA5D5B"/>
    <w:rsid w:val="00D77217"/>
    <w:rsid w:val="00E54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6D7336-474F-44EC-8519-9A281D4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D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D5B"/>
    <w:rPr>
      <w:rFonts w:ascii="Tahoma" w:hAnsi="Tahoma" w:cs="Tahoma"/>
      <w:sz w:val="16"/>
      <w:szCs w:val="16"/>
    </w:rPr>
  </w:style>
  <w:style w:type="paragraph" w:styleId="Prrafodelista">
    <w:name w:val="List Paragraph"/>
    <w:basedOn w:val="Normal"/>
    <w:uiPriority w:val="34"/>
    <w:qFormat/>
    <w:rsid w:val="005D1312"/>
    <w:pPr>
      <w:ind w:left="720"/>
      <w:contextualSpacing/>
    </w:pPr>
  </w:style>
  <w:style w:type="character" w:styleId="Hipervnculo">
    <w:name w:val="Hyperlink"/>
    <w:basedOn w:val="Fuentedeprrafopredeter"/>
    <w:uiPriority w:val="99"/>
    <w:semiHidden/>
    <w:unhideWhenUsed/>
    <w:rsid w:val="001513C0"/>
    <w:rPr>
      <w:color w:val="0000FF"/>
      <w:u w:val="single"/>
    </w:rPr>
  </w:style>
  <w:style w:type="paragraph" w:styleId="Encabezado">
    <w:name w:val="header"/>
    <w:basedOn w:val="Normal"/>
    <w:link w:val="EncabezadoCar"/>
    <w:uiPriority w:val="99"/>
    <w:unhideWhenUsed/>
    <w:rsid w:val="00B51C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CA6"/>
  </w:style>
  <w:style w:type="paragraph" w:styleId="Piedepgina">
    <w:name w:val="footer"/>
    <w:basedOn w:val="Normal"/>
    <w:link w:val="PiedepginaCar"/>
    <w:uiPriority w:val="99"/>
    <w:unhideWhenUsed/>
    <w:rsid w:val="00B51C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3607">
      <w:bodyDiv w:val="1"/>
      <w:marLeft w:val="0"/>
      <w:marRight w:val="0"/>
      <w:marTop w:val="0"/>
      <w:marBottom w:val="0"/>
      <w:divBdr>
        <w:top w:val="none" w:sz="0" w:space="0" w:color="auto"/>
        <w:left w:val="none" w:sz="0" w:space="0" w:color="auto"/>
        <w:bottom w:val="none" w:sz="0" w:space="0" w:color="auto"/>
        <w:right w:val="none" w:sz="0" w:space="0" w:color="auto"/>
      </w:divBdr>
    </w:div>
    <w:div w:id="387997217">
      <w:bodyDiv w:val="1"/>
      <w:marLeft w:val="0"/>
      <w:marRight w:val="0"/>
      <w:marTop w:val="0"/>
      <w:marBottom w:val="0"/>
      <w:divBdr>
        <w:top w:val="none" w:sz="0" w:space="0" w:color="auto"/>
        <w:left w:val="none" w:sz="0" w:space="0" w:color="auto"/>
        <w:bottom w:val="none" w:sz="0" w:space="0" w:color="auto"/>
        <w:right w:val="none" w:sz="0" w:space="0" w:color="auto"/>
      </w:divBdr>
    </w:div>
    <w:div w:id="542256500">
      <w:bodyDiv w:val="1"/>
      <w:marLeft w:val="0"/>
      <w:marRight w:val="0"/>
      <w:marTop w:val="0"/>
      <w:marBottom w:val="0"/>
      <w:divBdr>
        <w:top w:val="none" w:sz="0" w:space="0" w:color="auto"/>
        <w:left w:val="none" w:sz="0" w:space="0" w:color="auto"/>
        <w:bottom w:val="none" w:sz="0" w:space="0" w:color="auto"/>
        <w:right w:val="none" w:sz="0" w:space="0" w:color="auto"/>
      </w:divBdr>
    </w:div>
    <w:div w:id="871839855">
      <w:bodyDiv w:val="1"/>
      <w:marLeft w:val="0"/>
      <w:marRight w:val="0"/>
      <w:marTop w:val="0"/>
      <w:marBottom w:val="0"/>
      <w:divBdr>
        <w:top w:val="none" w:sz="0" w:space="0" w:color="auto"/>
        <w:left w:val="none" w:sz="0" w:space="0" w:color="auto"/>
        <w:bottom w:val="none" w:sz="0" w:space="0" w:color="auto"/>
        <w:right w:val="none" w:sz="0" w:space="0" w:color="auto"/>
      </w:divBdr>
    </w:div>
    <w:div w:id="1030448643">
      <w:bodyDiv w:val="1"/>
      <w:marLeft w:val="0"/>
      <w:marRight w:val="0"/>
      <w:marTop w:val="0"/>
      <w:marBottom w:val="0"/>
      <w:divBdr>
        <w:top w:val="none" w:sz="0" w:space="0" w:color="auto"/>
        <w:left w:val="none" w:sz="0" w:space="0" w:color="auto"/>
        <w:bottom w:val="none" w:sz="0" w:space="0" w:color="auto"/>
        <w:right w:val="none" w:sz="0" w:space="0" w:color="auto"/>
      </w:divBdr>
    </w:div>
    <w:div w:id="1299609037">
      <w:bodyDiv w:val="1"/>
      <w:marLeft w:val="0"/>
      <w:marRight w:val="0"/>
      <w:marTop w:val="0"/>
      <w:marBottom w:val="0"/>
      <w:divBdr>
        <w:top w:val="none" w:sz="0" w:space="0" w:color="auto"/>
        <w:left w:val="none" w:sz="0" w:space="0" w:color="auto"/>
        <w:bottom w:val="none" w:sz="0" w:space="0" w:color="auto"/>
        <w:right w:val="none" w:sz="0" w:space="0" w:color="auto"/>
      </w:divBdr>
    </w:div>
    <w:div w:id="1415476009">
      <w:bodyDiv w:val="1"/>
      <w:marLeft w:val="0"/>
      <w:marRight w:val="0"/>
      <w:marTop w:val="0"/>
      <w:marBottom w:val="0"/>
      <w:divBdr>
        <w:top w:val="none" w:sz="0" w:space="0" w:color="auto"/>
        <w:left w:val="none" w:sz="0" w:space="0" w:color="auto"/>
        <w:bottom w:val="none" w:sz="0" w:space="0" w:color="auto"/>
        <w:right w:val="none" w:sz="0" w:space="0" w:color="auto"/>
      </w:divBdr>
    </w:div>
    <w:div w:id="1533687575">
      <w:bodyDiv w:val="1"/>
      <w:marLeft w:val="0"/>
      <w:marRight w:val="0"/>
      <w:marTop w:val="0"/>
      <w:marBottom w:val="0"/>
      <w:divBdr>
        <w:top w:val="none" w:sz="0" w:space="0" w:color="auto"/>
        <w:left w:val="none" w:sz="0" w:space="0" w:color="auto"/>
        <w:bottom w:val="none" w:sz="0" w:space="0" w:color="auto"/>
        <w:right w:val="none" w:sz="0" w:space="0" w:color="auto"/>
      </w:divBdr>
    </w:div>
    <w:div w:id="1545753561">
      <w:bodyDiv w:val="1"/>
      <w:marLeft w:val="0"/>
      <w:marRight w:val="0"/>
      <w:marTop w:val="0"/>
      <w:marBottom w:val="0"/>
      <w:divBdr>
        <w:top w:val="none" w:sz="0" w:space="0" w:color="auto"/>
        <w:left w:val="none" w:sz="0" w:space="0" w:color="auto"/>
        <w:bottom w:val="none" w:sz="0" w:space="0" w:color="auto"/>
        <w:right w:val="none" w:sz="0" w:space="0" w:color="auto"/>
      </w:divBdr>
    </w:div>
    <w:div w:id="1545798098">
      <w:bodyDiv w:val="1"/>
      <w:marLeft w:val="0"/>
      <w:marRight w:val="0"/>
      <w:marTop w:val="0"/>
      <w:marBottom w:val="0"/>
      <w:divBdr>
        <w:top w:val="none" w:sz="0" w:space="0" w:color="auto"/>
        <w:left w:val="none" w:sz="0" w:space="0" w:color="auto"/>
        <w:bottom w:val="none" w:sz="0" w:space="0" w:color="auto"/>
        <w:right w:val="none" w:sz="0" w:space="0" w:color="auto"/>
      </w:divBdr>
    </w:div>
    <w:div w:id="1750541270">
      <w:bodyDiv w:val="1"/>
      <w:marLeft w:val="0"/>
      <w:marRight w:val="0"/>
      <w:marTop w:val="0"/>
      <w:marBottom w:val="0"/>
      <w:divBdr>
        <w:top w:val="none" w:sz="0" w:space="0" w:color="auto"/>
        <w:left w:val="none" w:sz="0" w:space="0" w:color="auto"/>
        <w:bottom w:val="none" w:sz="0" w:space="0" w:color="auto"/>
        <w:right w:val="none" w:sz="0" w:space="0" w:color="auto"/>
      </w:divBdr>
    </w:div>
    <w:div w:id="1791585243">
      <w:bodyDiv w:val="1"/>
      <w:marLeft w:val="0"/>
      <w:marRight w:val="0"/>
      <w:marTop w:val="0"/>
      <w:marBottom w:val="0"/>
      <w:divBdr>
        <w:top w:val="none" w:sz="0" w:space="0" w:color="auto"/>
        <w:left w:val="none" w:sz="0" w:space="0" w:color="auto"/>
        <w:bottom w:val="none" w:sz="0" w:space="0" w:color="auto"/>
        <w:right w:val="none" w:sz="0" w:space="0" w:color="auto"/>
      </w:divBdr>
    </w:div>
    <w:div w:id="193497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2906</Words>
  <Characters>15985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vicrosello</dc:creator>
  <cp:lastModifiedBy>Victoria Rosello</cp:lastModifiedBy>
  <cp:revision>4</cp:revision>
  <dcterms:created xsi:type="dcterms:W3CDTF">2017-10-25T13:48:00Z</dcterms:created>
  <dcterms:modified xsi:type="dcterms:W3CDTF">2018-04-12T14:39:00Z</dcterms:modified>
</cp:coreProperties>
</file>