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B4F72"/>
          <w:sz w:val="48"/>
          <w:szCs w:val="48"/>
        </w:rPr>
        <w:t xml:space="preserve">EMILIA PROTOCOL</w:t>
      </w:r>
    </w:p>
    <w:p>
      <w:pPr>
        <w:pBdr>
          <w:bottom w:val="single" w:color="B08D35" w:sz="8" w:space="8"/>
        </w:pBdr>
        <w:spacing w:after="100"/>
        <w:jc w:val="center"/>
      </w:pPr>
      <w:r>
        <w:rPr>
          <w:rFonts w:ascii="Arial" w:cs="Arial" w:eastAsia="Arial" w:hAnsi="Arial"/>
          <w:color w:val="555555"/>
          <w:sz w:val="28"/>
          <w:szCs w:val="28"/>
        </w:rPr>
        <w:t xml:space="preserve">Proposal for AAIF Standardization</w:t>
      </w:r>
    </w:p>
    <w:p>
      <w:pPr>
        <w:spacing w:before="600"/>
      </w:pPr>
    </w:p>
    <w:p>
      <w:pPr>
        <w:spacing w:after="80"/>
        <w:jc w:val="center"/>
      </w:pPr>
      <w:r>
        <w:rPr>
          <w:rFonts w:ascii="Arial" w:cs="Arial" w:eastAsia="Arial" w:hAnsi="Arial"/>
          <w:color w:val="555555"/>
          <w:sz w:val="22"/>
          <w:szCs w:val="22"/>
        </w:rPr>
        <w:t xml:space="preserve">Version 3.0  |  April 2026</w:t>
      </w:r>
    </w:p>
    <w:p>
      <w:pPr>
        <w:spacing w:after="80"/>
        <w:jc w:val="center"/>
      </w:pPr>
      <w:r>
        <w:rPr>
          <w:rFonts w:ascii="Arial" w:cs="Arial" w:eastAsia="Arial" w:hAnsi="Arial"/>
          <w:b/>
          <w:bCs/>
          <w:color w:val="222222"/>
          <w:sz w:val="22"/>
          <w:szCs w:val="22"/>
        </w:rPr>
        <w:t xml:space="preserve">Iman Schrock, Protocol Author &amp; CEO</w:t>
      </w:r>
    </w:p>
    <w:p>
      <w:pPr>
        <w:spacing w:after="80"/>
        <w:jc w:val="center"/>
      </w:pPr>
      <w:r>
        <w:rPr>
          <w:rFonts w:ascii="Arial" w:cs="Arial" w:eastAsia="Arial" w:hAnsi="Arial"/>
          <w:color w:val="555555"/>
          <w:sz w:val="20"/>
          <w:szCs w:val="20"/>
        </w:rPr>
        <w:t xml:space="preserve">Apache 2.0  |  github.com/emiliaprotocol/emilia-protocol</w:t>
      </w:r>
    </w:p>
    <w:p>
      <w:pPr>
        <w:spacing w:before="800"/>
      </w:pPr>
    </w:p>
    <w:p>
      <w:pPr>
        <w:pBdr>
          <w:top w:val="single" w:color="DDDDDD" w:sz="2" w:space="8"/>
        </w:pBdr>
        <w:spacing w:after="0"/>
        <w:jc w:val="center"/>
      </w:pPr>
      <w:r>
        <w:rPr>
          <w:rFonts w:ascii="Arial" w:cs="Arial" w:eastAsia="Arial" w:hAnsi="Arial"/>
          <w:i/>
          <w:iCs/>
          <w:color w:val="B08D35"/>
          <w:sz w:val="22"/>
          <w:szCs w:val="22"/>
        </w:rPr>
        <w:t xml:space="preserve">EMILIA Protocol is an open standard for verifiable pre-action authorization in AI systems — the proof that an AI asked permission before it acted.</w:t>
      </w:r>
    </w:p>
    <w:p>
      <w:r>
        <w:br w:type="page"/>
      </w:r>
    </w:p>
    <w:p>
      <w:pPr>
        <w:pStyle w:val="Heading1"/>
        <w:spacing w:after="200" w:before="360"/>
      </w:pPr>
      <w:r>
        <w:rPr>
          <w:rFonts w:ascii="Arial" w:cs="Arial" w:eastAsia="Arial" w:hAnsi="Arial"/>
          <w:b/>
          <w:bCs/>
          <w:color w:val="1B4F72"/>
          <w:sz w:val="32"/>
          <w:szCs w:val="32"/>
        </w:rPr>
        <w:t xml:space="preserve">Why This Matters Now</w:t>
      </w:r>
    </w:p>
    <w:p>
      <w:pPr>
        <w:spacing w:after="160"/>
      </w:pPr>
      <w:r>
        <w:rPr>
          <w:rFonts w:ascii="Arial" w:cs="Arial" w:eastAsia="Arial" w:hAnsi="Arial"/>
          <w:color w:val="333333"/>
          <w:sz w:val="22"/>
          <w:szCs w:val="22"/>
        </w:rPr>
        <w:t xml:space="preserve">AI systems are moving from recommendation to execution. Models now deploy code, transfer funds, modify infrastructure, and act on behalf of humans. The missing governance layer is not model quality — it is action control.</w:t>
      </w:r>
    </w:p>
    <w:p>
      <w:pPr>
        <w:spacing w:after="160"/>
      </w:pPr>
      <w:r>
        <w:rPr>
          <w:rFonts w:ascii="Arial" w:cs="Arial" w:eastAsia="Arial" w:hAnsi="Arial"/>
          <w:color w:val="333333"/>
          <w:sz w:val="22"/>
          <w:szCs w:val="22"/>
        </w:rPr>
        <w:t xml:space="preserve">MCP tells agents how to use tools. EMILIA Protocol tells systems whether a specific high-risk action should be allowed to proceed.</w:t>
      </w:r>
    </w:p>
    <w:p>
      <w:pPr>
        <w:spacing w:after="160"/>
      </w:pPr>
      <w:r>
        <w:rPr>
          <w:rFonts w:ascii="Arial" w:cs="Arial" w:eastAsia="Arial" w:hAnsi="Arial"/>
          <w:color w:val="333333"/>
          <w:sz w:val="22"/>
          <w:szCs w:val="22"/>
        </w:rPr>
        <w:t xml:space="preserve">When the first catastrophic unauthorized AI action makes headlines, every government, financial institution, and enterprise will need the same thing: a verifiable, auditable, tamper-evident record that the action was authorized, by whom, under what policy, and with what evidence. They will need it to be open, interoperable, and not controlled by any single vendor.</w:t>
      </w:r>
    </w:p>
    <w:p>
      <w:pPr>
        <w:spacing w:after="160"/>
      </w:pPr>
      <w:r>
        <w:rPr>
          <w:rFonts w:ascii="Arial" w:cs="Arial" w:eastAsia="Arial" w:hAnsi="Arial"/>
          <w:color w:val="333333"/>
          <w:sz w:val="22"/>
          <w:szCs w:val="22"/>
        </w:rPr>
        <w:t xml:space="preserve">That is what EP provides.</w:t>
      </w:r>
    </w:p>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The Protocol Stack</w:t>
      </w:r>
    </w:p>
    <w:p>
      <w:pPr>
        <w:shd w:fill="F8F9FA" w:val="clear"/>
        <w:spacing w:after="0"/>
        <w:ind w:left="360"/>
      </w:pPr>
      <w:r>
        <w:rPr>
          <w:rFonts w:ascii="Consolas" w:cs="Consolas" w:eastAsia="Consolas" w:hAnsi="Consolas"/>
          <w:color w:val="2C3E50"/>
          <w:sz w:val="18"/>
          <w:szCs w:val="18"/>
        </w:rPr>
        <w:t xml:space="preserve">EP Eye         OBSERVE → SHADOW → ENFORCE lifecycle</w:t>
      </w:r>
    </w:p>
    <w:p>
      <w:pPr>
        <w:shd w:fill="F8F9FA" w:val="clear"/>
        <w:spacing w:after="0"/>
        <w:ind w:left="360"/>
      </w:pPr>
      <w:r>
        <w:rPr>
          <w:rFonts w:ascii="Consolas" w:cs="Consolas" w:eastAsia="Consolas" w:hAnsi="Consolas"/>
          <w:color w:val="2C3E50"/>
          <w:sz w:val="18"/>
          <w:szCs w:val="18"/>
        </w:rPr>
        <w:t xml:space="preserve">               Classifies risk patterns. Informs policy. Does not decide.</w:t>
      </w:r>
    </w:p>
    <w:p>
      <w:pPr>
        <w:shd w:fill="F8F9FA" w:val="clear"/>
        <w:spacing w:after="0"/>
        <w:ind w:left="360"/>
      </w:pPr>
      <w:r>
        <w:rPr>
          <w:rFonts w:ascii="Consolas" w:cs="Consolas" w:eastAsia="Consolas" w:hAnsi="Consolas"/>
          <w:color w:val="2C3E50"/>
          <w:sz w:val="18"/>
          <w:szCs w:val="18"/>
        </w:rPr>
        <w:t xml:space="preserve"/>
      </w:r>
    </w:p>
    <w:p>
      <w:pPr>
        <w:shd w:fill="F8F9FA" w:val="clear"/>
        <w:spacing w:after="0"/>
        <w:ind w:left="360"/>
      </w:pPr>
      <w:r>
        <w:rPr>
          <w:rFonts w:ascii="Consolas" w:cs="Consolas" w:eastAsia="Consolas" w:hAnsi="Consolas"/>
          <w:color w:val="2C3E50"/>
          <w:sz w:val="18"/>
          <w:szCs w:val="18"/>
        </w:rPr>
        <w:t xml:space="preserve">EP Handshake   Pre-action trust ceremony</w:t>
      </w:r>
    </w:p>
    <w:p>
      <w:pPr>
        <w:shd w:fill="F8F9FA" w:val="clear"/>
        <w:spacing w:after="0"/>
        <w:ind w:left="360"/>
      </w:pPr>
      <w:r>
        <w:rPr>
          <w:rFonts w:ascii="Consolas" w:cs="Consolas" w:eastAsia="Consolas" w:hAnsi="Consolas"/>
          <w:color w:val="2C3E50"/>
          <w:sz w:val="18"/>
          <w:szCs w:val="18"/>
        </w:rPr>
        <w:t xml:space="preserve">               Binds identity + authority + policy + action + nonce + expiry</w:t>
      </w:r>
    </w:p>
    <w:p>
      <w:pPr>
        <w:shd w:fill="F8F9FA" w:val="clear"/>
        <w:spacing w:after="0"/>
        <w:ind w:left="360"/>
      </w:pPr>
      <w:r>
        <w:rPr>
          <w:rFonts w:ascii="Consolas" w:cs="Consolas" w:eastAsia="Consolas" w:hAnsi="Consolas"/>
          <w:color w:val="2C3E50"/>
          <w:sz w:val="18"/>
          <w:szCs w:val="18"/>
        </w:rPr>
        <w:t xml:space="preserve">               Consumed exactly once. Replay-resistant.</w:t>
      </w:r>
    </w:p>
    <w:p>
      <w:pPr>
        <w:shd w:fill="F8F9FA" w:val="clear"/>
        <w:spacing w:after="0"/>
        <w:ind w:left="360"/>
      </w:pPr>
      <w:r>
        <w:rPr>
          <w:rFonts w:ascii="Consolas" w:cs="Consolas" w:eastAsia="Consolas" w:hAnsi="Consolas"/>
          <w:color w:val="2C3E50"/>
          <w:sz w:val="18"/>
          <w:szCs w:val="18"/>
        </w:rPr>
        <w:t xml:space="preserve"/>
      </w:r>
    </w:p>
    <w:p>
      <w:pPr>
        <w:shd w:fill="F8F9FA" w:val="clear"/>
        <w:spacing w:after="0"/>
        <w:ind w:left="360"/>
      </w:pPr>
      <w:r>
        <w:rPr>
          <w:rFonts w:ascii="Consolas" w:cs="Consolas" w:eastAsia="Consolas" w:hAnsi="Consolas"/>
          <w:color w:val="2C3E50"/>
          <w:sz w:val="18"/>
          <w:szCs w:val="18"/>
        </w:rPr>
        <w:t xml:space="preserve">EP Signoff     Named human accountability</w:t>
      </w:r>
    </w:p>
    <w:p>
      <w:pPr>
        <w:shd w:fill="F8F9FA" w:val="clear"/>
        <w:spacing w:after="0"/>
        <w:ind w:left="360"/>
      </w:pPr>
      <w:r>
        <w:rPr>
          <w:rFonts w:ascii="Consolas" w:cs="Consolas" w:eastAsia="Consolas" w:hAnsi="Consolas"/>
          <w:color w:val="2C3E50"/>
          <w:sz w:val="18"/>
          <w:szCs w:val="18"/>
        </w:rPr>
        <w:t xml:space="preserve">               Specific principal assumes irrevocable ownership of outcome</w:t>
      </w:r>
    </w:p>
    <w:p>
      <w:pPr>
        <w:shd w:fill="F8F9FA" w:val="clear"/>
        <w:spacing w:after="0"/>
        <w:ind w:left="360"/>
      </w:pPr>
      <w:r>
        <w:rPr>
          <w:rFonts w:ascii="Consolas" w:cs="Consolas" w:eastAsia="Consolas" w:hAnsi="Consolas"/>
          <w:color w:val="2C3E50"/>
          <w:sz w:val="18"/>
          <w:szCs w:val="18"/>
        </w:rPr>
        <w:t xml:space="preserve"/>
      </w:r>
    </w:p>
    <w:p>
      <w:pPr>
        <w:shd w:fill="F8F9FA" w:val="clear"/>
        <w:spacing w:after="0"/>
        <w:ind w:left="360"/>
      </w:pPr>
      <w:r>
        <w:rPr>
          <w:rFonts w:ascii="Consolas" w:cs="Consolas" w:eastAsia="Consolas" w:hAnsi="Consolas"/>
          <w:color w:val="2C3E50"/>
          <w:sz w:val="18"/>
          <w:szCs w:val="18"/>
        </w:rPr>
        <w:t xml:space="preserve">EP Commit      Atomic action seal</w:t>
      </w:r>
    </w:p>
    <w:p>
      <w:pPr>
        <w:shd w:fill="F8F9FA" w:val="clear"/>
        <w:spacing w:after="0"/>
        <w:ind w:left="360"/>
      </w:pPr>
      <w:r>
        <w:rPr>
          <w:rFonts w:ascii="Consolas" w:cs="Consolas" w:eastAsia="Consolas" w:hAnsi="Consolas"/>
          <w:color w:val="2C3E50"/>
          <w:sz w:val="18"/>
          <w:szCs w:val="18"/>
        </w:rPr>
        <w:t xml:space="preserve">               Immutable. Hash-linked. Blockchain-anchored.</w:t>
      </w:r>
    </w:p>
    <w:p>
      <w:pPr>
        <w:shd w:fill="F8F9FA" w:val="clear"/>
        <w:spacing w:after="0"/>
        <w:ind w:left="360"/>
      </w:pPr>
      <w:r>
        <w:rPr>
          <w:rFonts w:ascii="Consolas" w:cs="Consolas" w:eastAsia="Consolas" w:hAnsi="Consolas"/>
          <w:color w:val="2C3E50"/>
          <w:sz w:val="18"/>
          <w:szCs w:val="18"/>
        </w:rPr>
        <w:t xml:space="preserve">               No partial states. Sealed on write.</w:t>
      </w:r>
    </w:p>
    <w:p>
      <w:pPr>
        <w:spacing w:before="240"/>
      </w:pPr>
    </w:p>
    <w:p>
      <w:pPr>
        <w:pStyle w:val="Heading2"/>
        <w:spacing w:after="200" w:before="360"/>
      </w:pPr>
      <w:r>
        <w:rPr>
          <w:rFonts w:ascii="Arial" w:cs="Arial" w:eastAsia="Arial" w:hAnsi="Arial"/>
          <w:b/>
          <w:bCs/>
          <w:color w:val="1B4F72"/>
          <w:sz w:val="26"/>
          <w:szCs w:val="26"/>
        </w:rPr>
        <w:t xml:space="preserve">Core Objects (EP Core v1.0 — Frozen)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c>
          <w:tcPr>
            <w:tcW w:type="dxa" w:w="1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Object</w:t>
            </w:r>
          </w:p>
        </w:tc>
        <w:tc>
          <w:tcPr>
            <w:tcW w:type="dxa" w:w="2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47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Interoperability Role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Trust Receipt</w:t>
            </w:r>
            <w:r>
              <w:rPr>
                <w:rFonts w:ascii="Arial" w:cs="Arial" w:eastAsia="Arial" w:hAnsi="Arial"/>
                <w:color w:val="555555"/>
                <w:sz w:val="20"/>
                <w:szCs w:val="20"/>
              </w:rPr>
              <w:t xml:space="preserve"/>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Portable, signed record of trust-relevant interaction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Self-contained, Ed25519-signed, Merkle-anchored. Verifiable without EP infrastructure.</w:t>
            </w:r>
          </w:p>
        </w:tc>
      </w:tr>
      <w:tr>
        <w:tc>
          <w:tcPr>
            <w:tcW w:type="dxa" w:w="1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Trust Profile</w:t>
            </w:r>
            <w:r>
              <w:rPr>
                <w:rFonts w:ascii="Arial" w:cs="Arial" w:eastAsia="Arial" w:hAnsi="Arial"/>
                <w:color w:val="555555"/>
                <w:sz w:val="20"/>
                <w:szCs w:val="20"/>
              </w:rPr>
              <w:t xml:space="preserve"/>
            </w:r>
          </w:p>
        </w:tc>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Structured trust state derived from receipts</w:t>
            </w:r>
          </w:p>
        </w:tc>
        <w:tc>
          <w:tcPr>
            <w:tcW w:type="dxa" w:w="47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Read-only projection. Score, confidence, evidence depth, domain breakdown.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Trust Decision</w:t>
            </w:r>
            <w:r>
              <w:rPr>
                <w:rFonts w:ascii="Arial" w:cs="Arial" w:eastAsia="Arial" w:hAnsi="Arial"/>
                <w:color w:val="555555"/>
                <w:sz w:val="20"/>
                <w:szCs w:val="20"/>
              </w:rPr>
              <w:t xml:space="preserve"/>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Policy-evaluated result for a specific action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allow/review/deny with reasons, evidence, and appeal path.</w:t>
            </w:r>
          </w:p>
        </w:tc>
      </w:tr>
    </w:tbl>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What Makes EP Different</w:t>
      </w:r>
    </w:p>
    <w:p>
      <w:pPr>
        <w:pStyle w:val="ListParagraph"/>
        <w:numPr>
          <w:ilvl w:val="0"/>
          <w:numId w:val="2"/>
        </w:numPr>
        <w:spacing w:after="100"/>
      </w:pPr>
      <w:r>
        <w:rPr>
          <w:rFonts w:ascii="Arial" w:cs="Arial" w:eastAsia="Arial" w:hAnsi="Arial"/>
          <w:color w:val="333333"/>
          <w:sz w:val="22"/>
          <w:szCs w:val="22"/>
        </w:rPr>
        <w:t xml:space="preserve">Self-verifying receipts. An EP receipt is a self-contained, Ed25519-signed, Merkle-anchored document. Anyone can verify it without calling EP’s API, without an account, without any trust relationship with the operator. Like Bitcoin transactions — just math.</w:t>
      </w:r>
    </w:p>
    <w:p>
      <w:pPr>
        <w:pStyle w:val="ListParagraph"/>
        <w:numPr>
          <w:ilvl w:val="0"/>
          <w:numId w:val="2"/>
        </w:numPr>
        <w:spacing w:after="100"/>
      </w:pPr>
      <w:r>
        <w:rPr>
          <w:rFonts w:ascii="Arial" w:cs="Arial" w:eastAsia="Arial" w:hAnsi="Arial"/>
          <w:color w:val="333333"/>
          <w:sz w:val="22"/>
          <w:szCs w:val="22"/>
        </w:rPr>
        <w:t xml:space="preserve">Pre-action enforcement, not post-hoc scoring. EP gates actions before they execute. No verified Handshake = no action.</w:t>
      </w:r>
    </w:p>
    <w:p>
      <w:pPr>
        <w:pStyle w:val="ListParagraph"/>
        <w:numPr>
          <w:ilvl w:val="0"/>
          <w:numId w:val="2"/>
        </w:numPr>
        <w:spacing w:after="100"/>
      </w:pPr>
      <w:r>
        <w:rPr>
          <w:rFonts w:ascii="Arial" w:cs="Arial" w:eastAsia="Arial" w:hAnsi="Arial"/>
          <w:color w:val="333333"/>
          <w:sz w:val="22"/>
          <w:szCs w:val="22"/>
        </w:rPr>
        <w:t xml:space="preserve">Named human accountability. EP’s Signoff layer ensures a specific named human has seen the exact action, understood the consequences, and accepted responsibility.</w:t>
      </w:r>
    </w:p>
    <w:p>
      <w:pPr>
        <w:pStyle w:val="ListParagraph"/>
        <w:numPr>
          <w:ilvl w:val="0"/>
          <w:numId w:val="2"/>
        </w:numPr>
        <w:spacing w:after="100"/>
      </w:pPr>
      <w:r>
        <w:rPr>
          <w:rFonts w:ascii="Arial" w:cs="Arial" w:eastAsia="Arial" w:hAnsi="Arial"/>
          <w:color w:val="333333"/>
          <w:sz w:val="22"/>
          <w:szCs w:val="22"/>
        </w:rPr>
        <w:t xml:space="preserve">Formal verification. 20 TLA+ safety properties verified by model checking. 32 Alloy relational facts verified. Both run in CI on every commit.</w:t>
      </w:r>
    </w:p>
    <w:p>
      <w:pPr>
        <w:pStyle w:val="ListParagraph"/>
        <w:numPr>
          <w:ilvl w:val="0"/>
          <w:numId w:val="2"/>
        </w:numPr>
        <w:spacing w:after="100"/>
      </w:pPr>
      <w:r>
        <w:rPr>
          <w:rFonts w:ascii="Arial" w:cs="Arial" w:eastAsia="Arial" w:hAnsi="Arial"/>
          <w:color w:val="333333"/>
          <w:sz w:val="22"/>
          <w:szCs w:val="22"/>
        </w:rPr>
        <w:t xml:space="preserve">Due process. Disputes, appeals, human reports, graph-based adjudication. Trust must never be more powerful than appeal.</w:t>
      </w:r>
    </w:p>
    <w:p>
      <w:pPr>
        <w:pStyle w:val="ListParagraph"/>
        <w:numPr>
          <w:ilvl w:val="0"/>
          <w:numId w:val="2"/>
        </w:numPr>
        <w:spacing w:after="100"/>
      </w:pPr>
      <w:r>
        <w:rPr>
          <w:rFonts w:ascii="Arial" w:cs="Arial" w:eastAsia="Arial" w:hAnsi="Arial"/>
          <w:color w:val="333333"/>
          <w:sz w:val="22"/>
          <w:szCs w:val="22"/>
        </w:rPr>
        <w:t xml:space="preserve">Federation-ready. Multiple independent operators cross-verify via cryptographic proofs — not a single central authority.</w:t>
      </w:r>
    </w:p>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Technical Maturity</w:t>
      </w:r>
    </w:p>
    <w:p>
      <w:pPr>
        <w:spacing w:after="160"/>
      </w:pPr>
      <w:r>
        <w:rPr>
          <w:rFonts w:ascii="Arial" w:cs="Arial" w:eastAsia="Arial" w:hAnsi="Arial"/>
          <w:color w:val="333333"/>
          <w:sz w:val="22"/>
          <w:szCs w:val="22"/>
        </w:rPr>
        <w:t xml:space="preserve">EP is not a proposal. It is production-grade software with formal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1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Live handshakes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112,000+</w:t>
            </w:r>
          </w:p>
        </w:tc>
      </w:tr>
      <w:tr>
        <w:tc>
          <w:tcPr>
            <w:tcW w:type="dxa" w:w="4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Automated tests</w:t>
            </w:r>
          </w:p>
        </w:tc>
        <w:tc>
          <w:tcPr>
            <w:tcW w:type="dxa" w:w="51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3,277 across 125 files</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Adversarial tests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116 red team cases</w:t>
            </w:r>
          </w:p>
        </w:tc>
      </w:tr>
      <w:tr>
        <w:tc>
          <w:tcPr>
            <w:tcW w:type="dxa" w:w="4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Formal verification</w:t>
            </w:r>
          </w:p>
        </w:tc>
        <w:tc>
          <w:tcPr>
            <w:tcW w:type="dxa" w:w="51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TLA+ (20 properties) + Alloy (32 facts, 15 assertions)</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Database tables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50 (all RLS-enabled)</w:t>
            </w:r>
          </w:p>
        </w:tc>
      </w:tr>
      <w:tr>
        <w:tc>
          <w:tcPr>
            <w:tcW w:type="dxa" w:w="4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API endpoints</w:t>
            </w:r>
          </w:p>
        </w:tc>
        <w:tc>
          <w:tcPr>
            <w:tcW w:type="dxa" w:w="51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45+ routes, all rate-limited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MCP tools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34 (native AI agent integration)</w:t>
            </w:r>
          </w:p>
        </w:tc>
      </w:tr>
      <w:tr>
        <w:tc>
          <w:tcPr>
            <w:tcW w:type="dxa" w:w="4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SDKs</w:t>
            </w:r>
          </w:p>
        </w:tc>
        <w:tc>
          <w:tcPr>
            <w:tcW w:type="dxa" w:w="51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TypeScript + Python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Performance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Handshake create p95: 87ms at 500 concurrent</w:t>
            </w:r>
          </w:p>
        </w:tc>
      </w:tr>
      <w:tr>
        <w:tc>
          <w:tcPr>
            <w:tcW w:type="dxa" w:w="4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Conformance</w:t>
            </w:r>
          </w:p>
        </w:tc>
        <w:tc>
          <w:tcPr>
            <w:tcW w:type="dxa" w:w="51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7/7 required checks PASS — CONFORMANT: EP Core v1.0</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CI quality gates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28 across 13 workflows (incl. Playwright E2E)</w:t>
            </w:r>
          </w:p>
        </w:tc>
      </w:tr>
      <w:tr>
        <w:tc>
          <w:tcPr>
            <w:tcW w:type="dxa" w:w="4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Standalone verify</w:t>
            </w:r>
          </w:p>
        </w:tc>
        <w:tc>
          <w:tcPr>
            <w:tcW w:type="dxa" w:w="51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@emilia-protocol/verify — zero-dep offline verification (shipped)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Adoption primitives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Explorer, Playground, Embed Widget, Adopt page (all shipped)</w:t>
            </w:r>
          </w:p>
        </w:tc>
      </w:tr>
      <w:tr>
        <w:tc>
          <w:tcPr>
            <w:tcW w:type="dxa" w:w="4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AWS deployment</w:t>
            </w:r>
          </w:p>
        </w:tc>
        <w:tc>
          <w:tcPr>
            <w:tcW w:type="dxa" w:w="51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CloudFormation template ready</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Security audit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96/100 internal audit score</w:t>
            </w:r>
          </w:p>
        </w:tc>
      </w:tr>
    </w:tbl>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Compliance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Framework</w:t>
            </w:r>
          </w:p>
        </w:tc>
        <w:tc>
          <w:tcPr>
            <w:tcW w:type="dxa" w:w="63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Coverage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NIST AI RMF 1.0</w:t>
            </w:r>
            <w:r>
              <w:rPr>
                <w:rFonts w:ascii="Arial" w:cs="Arial" w:eastAsia="Arial" w:hAnsi="Arial"/>
                <w:color w:val="555555"/>
                <w:sz w:val="20"/>
                <w:szCs w:val="20"/>
              </w:rPr>
              <w:t xml:space="preserve"/>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38/38 subcategories mapped across GOVERN, MAP, MEASURE, MANAGE</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EU AI Act</w:t>
            </w:r>
            <w:r>
              <w:rPr>
                <w:rFonts w:ascii="Arial" w:cs="Arial" w:eastAsia="Arial" w:hAnsi="Arial"/>
                <w:color w:val="555555"/>
                <w:sz w:val="20"/>
                <w:szCs w:val="20"/>
              </w:rPr>
              <w:t xml:space="preserve"/>
            </w:r>
          </w:p>
        </w:tc>
        <w:tc>
          <w:tcPr>
            <w:tcW w:type="dxa" w:w="63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Articles 9–15 and 26 fully mapped (risk management, data governance, logging, transparency, human oversight, cybersecurity)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SOC 2 Type II</w:t>
            </w:r>
            <w:r>
              <w:rPr>
                <w:rFonts w:ascii="Arial" w:cs="Arial" w:eastAsia="Arial" w:hAnsi="Arial"/>
                <w:color w:val="555555"/>
                <w:sz w:val="20"/>
                <w:szCs w:val="20"/>
              </w:rPr>
              <w:t xml:space="preserve"/>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Mapping complete, audit engagement planned</w:t>
            </w:r>
          </w:p>
        </w:tc>
      </w:tr>
    </w:tbl>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Protocol Governance</w:t>
      </w:r>
    </w:p>
    <w:p>
      <w:pPr>
        <w:spacing w:after="160"/>
      </w:pPr>
      <w:r>
        <w:rPr>
          <w:rFonts w:ascii="Arial" w:cs="Arial" w:eastAsia="Arial" w:hAnsi="Arial"/>
          <w:color w:val="333333"/>
          <w:sz w:val="22"/>
          <w:szCs w:val="22"/>
        </w:rPr>
        <w:t xml:space="preserve">EP uses a Protocol Improvement Proposal (PIP) process modeled on Bitcoin’s BIPs: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3960"/>
      </w:tblGrid>
      <w:tr>
        <w:tc>
          <w:tcPr>
            <w:tcW w:type="dxa" w:w="12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PIP</w:t>
            </w:r>
          </w:p>
        </w:tc>
        <w:tc>
          <w:tcPr>
            <w:tcW w:type="dxa" w:w="42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Title</w:t>
            </w:r>
          </w:p>
        </w:tc>
        <w:tc>
          <w:tcPr>
            <w:tcW w:type="dxa" w:w="39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PIP-000</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PIP Process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Active</w:t>
            </w:r>
          </w:p>
        </w:tc>
      </w:tr>
      <w:tr>
        <w:tc>
          <w:tcPr>
            <w:tcW w:type="dxa" w:w="1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PIP-001</w:t>
            </w:r>
          </w:p>
        </w:tc>
        <w:tc>
          <w:tcPr>
            <w:tcW w:type="dxa" w:w="4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EP Core v1.0 Freeze</w:t>
            </w:r>
          </w:p>
        </w:tc>
        <w:tc>
          <w:tcPr>
            <w:tcW w:type="dxa" w:w="39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Accepted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PIP-002</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Handshake Extension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Accepted</w:t>
            </w:r>
          </w:p>
        </w:tc>
      </w:tr>
      <w:tr>
        <w:tc>
          <w:tcPr>
            <w:tcW w:type="dxa" w:w="1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PIP-003</w:t>
            </w:r>
          </w:p>
        </w:tc>
        <w:tc>
          <w:tcPr>
            <w:tcW w:type="dxa" w:w="4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Accountable Signoff Extension</w:t>
            </w:r>
          </w:p>
        </w:tc>
        <w:tc>
          <w:tcPr>
            <w:tcW w:type="dxa" w:w="39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Accepted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PIP-004</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EP Commit Extension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Accepted</w:t>
            </w:r>
          </w:p>
        </w:tc>
      </w:tr>
      <w:tr>
        <w:tc>
          <w:tcPr>
            <w:tcW w:type="dxa" w:w="1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PIP-005</w:t>
            </w:r>
          </w:p>
        </w:tc>
        <w:tc>
          <w:tcPr>
            <w:tcW w:type="dxa" w:w="4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Emilia Eye Extension</w:t>
            </w:r>
          </w:p>
        </w:tc>
        <w:tc>
          <w:tcPr>
            <w:tcW w:type="dxa" w:w="39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Accepted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PIP-006</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Federation Specification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Draft</w:t>
            </w:r>
          </w:p>
        </w:tc>
      </w:tr>
    </w:tbl>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What EP Proposes to AAIF</w:t>
      </w:r>
    </w:p>
    <w:p>
      <w:pPr>
        <w:pStyle w:val="ListParagraph"/>
        <w:numPr>
          <w:ilvl w:val="0"/>
          <w:numId w:val="3"/>
        </w:numPr>
        <w:spacing w:after="100"/>
      </w:pPr>
      <w:r>
        <w:rPr>
          <w:rFonts w:ascii="Arial" w:cs="Arial" w:eastAsia="Arial" w:hAnsi="Arial"/>
          <w:color w:val="333333"/>
          <w:sz w:val="22"/>
          <w:szCs w:val="22"/>
        </w:rPr>
        <w:t xml:space="preserve">Adopt EP Core as a minimal interoperable trust interface: Three objects — Trust Receipt, Trust Profile, Trust Decision — as the standard interface for trust evaluation in AI agent systems.</w:t>
      </w:r>
    </w:p>
    <w:p>
      <w:pPr>
        <w:pStyle w:val="ListParagraph"/>
        <w:numPr>
          <w:ilvl w:val="0"/>
          <w:numId w:val="3"/>
        </w:numPr>
        <w:spacing w:after="100"/>
      </w:pPr>
      <w:r>
        <w:rPr>
          <w:rFonts w:ascii="Arial" w:cs="Arial" w:eastAsia="Arial" w:hAnsi="Arial"/>
          <w:color w:val="333333"/>
          <w:sz w:val="22"/>
          <w:szCs w:val="22"/>
        </w:rPr>
        <w:t xml:space="preserve">Standardize the EP function-calling schema for LLMs: Eight function definitions (3 core + 5 extended) that any model provider can implement to make their models trust-aware.</w:t>
      </w:r>
    </w:p>
    <w:p>
      <w:pPr>
        <w:pStyle w:val="ListParagraph"/>
        <w:numPr>
          <w:ilvl w:val="0"/>
          <w:numId w:val="3"/>
        </w:numPr>
        <w:spacing w:after="100"/>
      </w:pPr>
      <w:r>
        <w:rPr>
          <w:rFonts w:ascii="Arial" w:cs="Arial" w:eastAsia="Arial" w:hAnsi="Arial"/>
          <w:color w:val="333333"/>
          <w:sz w:val="22"/>
          <w:szCs w:val="22"/>
        </w:rPr>
        <w:t xml:space="preserve">Recognize self-verifying receipts as the trust primitive for AI: EP-RECEIPT-v1 documents are self-contained, signed, and anchor-provable. They don’t require a central authority to verify.</w:t>
      </w:r>
    </w:p>
    <w:p>
      <w:pPr>
        <w:pStyle w:val="ListParagraph"/>
        <w:numPr>
          <w:ilvl w:val="0"/>
          <w:numId w:val="3"/>
        </w:numPr>
        <w:spacing w:after="100"/>
      </w:pPr>
      <w:r>
        <w:rPr>
          <w:rFonts w:ascii="Arial" w:cs="Arial" w:eastAsia="Arial" w:hAnsi="Arial"/>
          <w:color w:val="333333"/>
          <w:sz w:val="22"/>
          <w:szCs w:val="22"/>
        </w:rPr>
        <w:t xml:space="preserve">Evaluate the federation model for multi-operator trust: EP’s federation enables independent operators to issue and cross-verify receipts — eliminating single-point-of-failure.</w:t>
      </w:r>
    </w:p>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Federation Vision</w:t>
      </w:r>
    </w:p>
    <w:p>
      <w:pPr>
        <w:shd w:fill="F8F9FA" w:val="clear"/>
        <w:spacing w:after="0"/>
        <w:ind w:left="360"/>
      </w:pPr>
      <w:r>
        <w:rPr>
          <w:rFonts w:ascii="Consolas" w:cs="Consolas" w:eastAsia="Consolas" w:hAnsi="Consolas"/>
          <w:color w:val="2C3E50"/>
          <w:sz w:val="18"/>
          <w:szCs w:val="18"/>
        </w:rPr>
        <w:t xml:space="preserve">Government Operator      Financial Operator      AI Platform Operator</w:t>
      </w:r>
    </w:p>
    <w:p>
      <w:pPr>
        <w:shd w:fill="F8F9FA" w:val="clear"/>
        <w:spacing w:after="0"/>
        <w:ind w:left="360"/>
      </w:pPr>
      <w:r>
        <w:rPr>
          <w:rFonts w:ascii="Consolas" w:cs="Consolas" w:eastAsia="Consolas" w:hAnsi="Consolas"/>
          <w:color w:val="2C3E50"/>
          <w:sz w:val="18"/>
          <w:szCs w:val="18"/>
        </w:rPr>
        <w:t xml:space="preserve">(US Treasury / GSA)      (JPMorgan / Fed)        (Anthropic / OpenAI)</w:t>
      </w:r>
    </w:p>
    <w:p>
      <w:pPr>
        <w:shd w:fill="F8F9FA" w:val="clear"/>
        <w:spacing w:after="0"/>
        <w:ind w:left="360"/>
      </w:pPr>
      <w:r>
        <w:rPr>
          <w:rFonts w:ascii="Consolas" w:cs="Consolas" w:eastAsia="Consolas" w:hAnsi="Consolas"/>
          <w:color w:val="2C3E50"/>
          <w:sz w:val="18"/>
          <w:szCs w:val="18"/>
        </w:rPr>
        <w:t xml:space="preserve">       │                        │                        │</w:t>
      </w:r>
    </w:p>
    <w:p>
      <w:pPr>
        <w:shd w:fill="F8F9FA" w:val="clear"/>
        <w:spacing w:after="0"/>
        <w:ind w:left="360"/>
      </w:pPr>
      <w:r>
        <w:rPr>
          <w:rFonts w:ascii="Consolas" w:cs="Consolas" w:eastAsia="Consolas" w:hAnsi="Consolas"/>
          <w:color w:val="2C3E50"/>
          <w:sz w:val="18"/>
          <w:szCs w:val="18"/>
        </w:rPr>
        <w:t xml:space="preserve">       ├── Issues receipts      ├── Issues receipts      ├── Issues receipts</w:t>
      </w:r>
    </w:p>
    <w:p>
      <w:pPr>
        <w:shd w:fill="F8F9FA" w:val="clear"/>
        <w:spacing w:after="0"/>
        <w:ind w:left="360"/>
      </w:pPr>
      <w:r>
        <w:rPr>
          <w:rFonts w:ascii="Consolas" w:cs="Consolas" w:eastAsia="Consolas" w:hAnsi="Consolas"/>
          <w:color w:val="2C3E50"/>
          <w:sz w:val="18"/>
          <w:szCs w:val="18"/>
        </w:rPr>
        <w:t xml:space="preserve">       ├── Anchors to Base L2   ├── Anchors to Base L2   ├── Anchors to Base L2</w:t>
      </w:r>
    </w:p>
    <w:p>
      <w:pPr>
        <w:shd w:fill="F8F9FA" w:val="clear"/>
        <w:spacing w:after="0"/>
        <w:ind w:left="360"/>
      </w:pPr>
      <w:r>
        <w:rPr>
          <w:rFonts w:ascii="Consolas" w:cs="Consolas" w:eastAsia="Consolas" w:hAnsi="Consolas"/>
          <w:color w:val="2C3E50"/>
          <w:sz w:val="18"/>
          <w:szCs w:val="18"/>
        </w:rPr>
        <w:t xml:space="preserve">       ├── /.well-known/ep-*    ├── /.well-known/ep-*    ├── /.well-known/ep-*</w:t>
      </w:r>
    </w:p>
    <w:p>
      <w:pPr>
        <w:shd w:fill="F8F9FA" w:val="clear"/>
        <w:spacing w:after="0"/>
        <w:ind w:left="360"/>
      </w:pPr>
      <w:r>
        <w:rPr>
          <w:rFonts w:ascii="Consolas" w:cs="Consolas" w:eastAsia="Consolas" w:hAnsi="Consolas"/>
          <w:color w:val="2C3E50"/>
          <w:sz w:val="18"/>
          <w:szCs w:val="18"/>
        </w:rPr>
        <w:t xml:space="preserve">       │                        │                        │</w:t>
      </w:r>
    </w:p>
    <w:p>
      <w:pPr>
        <w:shd w:fill="F8F9FA" w:val="clear"/>
        <w:spacing w:after="0"/>
        <w:ind w:left="360"/>
      </w:pPr>
      <w:r>
        <w:rPr>
          <w:rFonts w:ascii="Consolas" w:cs="Consolas" w:eastAsia="Consolas" w:hAnsi="Consolas"/>
          <w:color w:val="2C3E50"/>
          <w:sz w:val="18"/>
          <w:szCs w:val="18"/>
        </w:rPr>
        <w:t xml:space="preserve">       └──────── Cross-verify via Ed25519 + Merkle proofs ─┘</w:t>
      </w:r>
    </w:p>
    <w:p>
      <w:pPr>
        <w:shd w:fill="F8F9FA" w:val="clear"/>
        <w:spacing w:after="0"/>
        <w:ind w:left="360"/>
      </w:pPr>
      <w:r>
        <w:rPr>
          <w:rFonts w:ascii="Consolas" w:cs="Consolas" w:eastAsia="Consolas" w:hAnsi="Consolas"/>
          <w:color w:val="2C3E50"/>
          <w:sz w:val="18"/>
          <w:szCs w:val="18"/>
        </w:rPr>
        <w:t xml:space="preserve">                       No trust between operators needed</w:t>
      </w:r>
    </w:p>
    <w:p>
      <w:pPr>
        <w:shd w:fill="F8F9FA" w:val="clear"/>
        <w:spacing w:after="0"/>
        <w:ind w:left="360"/>
      </w:pPr>
      <w:r>
        <w:rPr>
          <w:rFonts w:ascii="Consolas" w:cs="Consolas" w:eastAsia="Consolas" w:hAnsi="Consolas"/>
          <w:color w:val="2C3E50"/>
          <w:sz w:val="18"/>
          <w:szCs w:val="18"/>
        </w:rPr>
        <w:t xml:space="preserve">                       Just math</w:t>
      </w:r>
    </w:p>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What EP Is NOT</w:t>
      </w:r>
    </w:p>
    <w:p>
      <w:pPr>
        <w:pStyle w:val="ListParagraph"/>
        <w:numPr>
          <w:ilvl w:val="0"/>
          <w:numId w:val="4"/>
        </w:numPr>
        <w:spacing w:after="80"/>
      </w:pPr>
      <w:r>
        <w:rPr>
          <w:rFonts w:ascii="Arial" w:cs="Arial" w:eastAsia="Arial" w:hAnsi="Arial"/>
          <w:color w:val="333333"/>
          <w:sz w:val="22"/>
          <w:szCs w:val="22"/>
        </w:rPr>
        <w:t xml:space="preserve">Not a token. No cryptocurrency, no DeFi, no trading. Just math.</w:t>
      </w:r>
    </w:p>
    <w:p>
      <w:pPr>
        <w:pStyle w:val="ListParagraph"/>
        <w:numPr>
          <w:ilvl w:val="0"/>
          <w:numId w:val="4"/>
        </w:numPr>
        <w:spacing w:after="80"/>
      </w:pPr>
      <w:r>
        <w:rPr>
          <w:rFonts w:ascii="Arial" w:cs="Arial" w:eastAsia="Arial" w:hAnsi="Arial"/>
          <w:color w:val="333333"/>
          <w:sz w:val="22"/>
          <w:szCs w:val="22"/>
        </w:rPr>
        <w:t xml:space="preserve">Not a reputation system. EP doesn’t produce public scores or persistent labels.</w:t>
      </w:r>
    </w:p>
    <w:p>
      <w:pPr>
        <w:pStyle w:val="ListParagraph"/>
        <w:numPr>
          <w:ilvl w:val="0"/>
          <w:numId w:val="4"/>
        </w:numPr>
        <w:spacing w:after="80"/>
      </w:pPr>
      <w:r>
        <w:rPr>
          <w:rFonts w:ascii="Arial" w:cs="Arial" w:eastAsia="Arial" w:hAnsi="Arial"/>
          <w:color w:val="333333"/>
          <w:sz w:val="22"/>
          <w:szCs w:val="22"/>
        </w:rPr>
        <w:t xml:space="preserve">Not a model. EP is infrastructure. It works with any model from any provider.</w:t>
      </w:r>
    </w:p>
    <w:p>
      <w:pPr>
        <w:pStyle w:val="ListParagraph"/>
        <w:numPr>
          <w:ilvl w:val="0"/>
          <w:numId w:val="4"/>
        </w:numPr>
        <w:spacing w:after="80"/>
      </w:pPr>
      <w:r>
        <w:rPr>
          <w:rFonts w:ascii="Arial" w:cs="Arial" w:eastAsia="Arial" w:hAnsi="Arial"/>
          <w:color w:val="333333"/>
          <w:sz w:val="22"/>
          <w:szCs w:val="22"/>
        </w:rPr>
        <w:t xml:space="preserve">Not a product. EP is an open protocol. EP Cloud is the commercial managed offering, like Red Hat to Linux.</w:t>
      </w:r>
    </w:p>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Ask</w:t>
      </w:r>
    </w:p>
    <w:p>
      <w:pPr>
        <w:pBdr>
          <w:left w:val="single" w:color="B08D35" w:sz="12" w:space="8"/>
        </w:pBdr>
        <w:spacing w:after="160"/>
        <w:ind w:left="360" w:right="360"/>
      </w:pPr>
      <w:r>
        <w:rPr>
          <w:rFonts w:ascii="Arial" w:cs="Arial" w:eastAsia="Arial" w:hAnsi="Arial"/>
          <w:i/>
          <w:iCs/>
          <w:color w:val="B08D35"/>
          <w:sz w:val="22"/>
          <w:szCs w:val="22"/>
        </w:rPr>
        <w:t xml:space="preserve">When an AI system takes a consequential action, what is the open, interoperable, verifiable standard for proving that the action was authorized?</w:t>
      </w:r>
    </w:p>
    <w:p>
      <w:pPr>
        <w:spacing w:after="160"/>
      </w:pPr>
      <w:r>
        <w:rPr>
          <w:rFonts w:ascii="Arial" w:cs="Arial" w:eastAsia="Arial" w:hAnsi="Arial"/>
          <w:color w:val="333333"/>
          <w:sz w:val="22"/>
          <w:szCs w:val="22"/>
        </w:rPr>
        <w:t xml:space="preserve">EP answers that question with working software, formal verification, compliance mappings, and a governance model designed for multi-stakeholder adoption.</w:t>
      </w:r>
    </w:p>
    <w:p>
      <w:pPr>
        <w:spacing w:after="60" w:before="160"/>
      </w:pPr>
      <w:r>
        <w:rPr>
          <w:rFonts w:ascii="Arial" w:cs="Arial" w:eastAsia="Arial" w:hAnsi="Arial"/>
          <w:b/>
          <w:bCs/>
          <w:color w:val="222222"/>
          <w:sz w:val="22"/>
          <w:szCs w:val="22"/>
        </w:rPr>
        <w:t xml:space="preserve">We request:</w:t>
      </w:r>
    </w:p>
    <w:p>
      <w:pPr>
        <w:pStyle w:val="ListParagraph"/>
        <w:numPr>
          <w:ilvl w:val="0"/>
          <w:numId w:val="5"/>
        </w:numPr>
        <w:spacing w:after="100"/>
      </w:pPr>
      <w:r>
        <w:rPr>
          <w:rFonts w:ascii="Arial" w:cs="Arial" w:eastAsia="Arial" w:hAnsi="Arial"/>
          <w:color w:val="333333"/>
          <w:sz w:val="22"/>
          <w:szCs w:val="22"/>
        </w:rPr>
        <w:t xml:space="preserve">Working group consideration for EP Core as an interoperable trust interface</w:t>
      </w:r>
    </w:p>
    <w:p>
      <w:pPr>
        <w:pStyle w:val="ListParagraph"/>
        <w:numPr>
          <w:ilvl w:val="0"/>
          <w:numId w:val="5"/>
        </w:numPr>
        <w:spacing w:after="100"/>
      </w:pPr>
      <w:r>
        <w:rPr>
          <w:rFonts w:ascii="Arial" w:cs="Arial" w:eastAsia="Arial" w:hAnsi="Arial"/>
          <w:color w:val="333333"/>
          <w:sz w:val="22"/>
          <w:szCs w:val="22"/>
        </w:rPr>
        <w:t xml:space="preserve">Feedback on the federation specification from member organizations</w:t>
      </w:r>
    </w:p>
    <w:p>
      <w:pPr>
        <w:pStyle w:val="ListParagraph"/>
        <w:numPr>
          <w:ilvl w:val="0"/>
          <w:numId w:val="5"/>
        </w:numPr>
        <w:spacing w:after="100"/>
      </w:pPr>
      <w:r>
        <w:rPr>
          <w:rFonts w:ascii="Arial" w:cs="Arial" w:eastAsia="Arial" w:hAnsi="Arial"/>
          <w:color w:val="333333"/>
          <w:sz w:val="22"/>
          <w:szCs w:val="22"/>
        </w:rPr>
        <w:t xml:space="preserve">Pilot coordination with AAIF members operating in regulated environments</w:t>
      </w:r>
    </w:p>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Contact</w:t>
      </w:r>
    </w:p>
    <w:p>
      <w:pPr>
        <w:spacing w:after="80"/>
      </w:pPr>
      <w:r>
        <w:rPr>
          <w:rFonts w:ascii="Arial" w:cs="Arial" w:eastAsia="Arial" w:hAnsi="Arial"/>
          <w:b/>
          <w:bCs/>
          <w:color w:val="222222"/>
          <w:sz w:val="24"/>
          <w:szCs w:val="24"/>
        </w:rPr>
        <w:t xml:space="preserve">Iman Schrock</w:t>
      </w:r>
    </w:p>
    <w:p>
      <w:pPr>
        <w:spacing w:after="160"/>
      </w:pPr>
      <w:r>
        <w:rPr>
          <w:rFonts w:ascii="Arial" w:cs="Arial" w:eastAsia="Arial" w:hAnsi="Arial"/>
          <w:color w:val="333333"/>
          <w:sz w:val="22"/>
          <w:szCs w:val="22"/>
        </w:rPr>
        <w:t xml:space="preserve">Protocol Author &amp; CEO</w:t>
      </w:r>
    </w:p>
    <w:p>
      <w:pPr>
        <w:spacing w:after="160"/>
      </w:pPr>
      <w:r>
        <w:rPr>
          <w:rFonts w:ascii="Arial" w:cs="Arial" w:eastAsia="Arial" w:hAnsi="Arial"/>
          <w:color w:val="333333"/>
          <w:sz w:val="22"/>
          <w:szCs w:val="22"/>
        </w:rPr>
        <w:t xml:space="preserve">iman@emiliaprotocol.ai</w:t>
      </w:r>
    </w:p>
    <w:p>
      <w:pPr>
        <w:spacing w:after="160"/>
      </w:pPr>
      <w:r>
        <w:rPr>
          <w:rFonts w:ascii="Arial" w:cs="Arial" w:eastAsia="Arial" w:hAnsi="Arial"/>
          <w:color w:val="333333"/>
          <w:sz w:val="22"/>
          <w:szCs w:val="22"/>
        </w:rPr>
        <w:t xml:space="preserve">github.com/emiliaprotocol/emilia-protocol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B08D35"/>
        <w:sz w:val="16"/>
        <w:szCs w:val="16"/>
      </w:rPr>
      <w:t xml:space="preserve">EMILIA PROTOCOL</w:t>
    </w:r>
    <w:r>
      <w:rPr>
        <w:rFonts w:ascii="Arial" w:cs="Arial" w:eastAsia="Arial" w:hAnsi="Arial"/>
        <w:color w:val="555555"/>
        <w:sz w:val="16"/>
        <w:szCs w:val="16"/>
      </w:rPr>
      <w:t xml:space="preserve">  |  AAIF Standardization Proposal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2026-04-09T00:13:54.582Z</dcterms:created>
  <dcterms:modified xsi:type="dcterms:W3CDTF">2026-04-09T00:13:54.583Z</dcterms:modified>
</cp:coreProperties>
</file>

<file path=docProps/custom.xml><?xml version="1.0" encoding="utf-8"?>
<Properties xmlns="http://schemas.openxmlformats.org/officeDocument/2006/custom-properties" xmlns:vt="http://schemas.openxmlformats.org/officeDocument/2006/docPropsVTypes"/>
</file>