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color w:val="1B4F72"/>
          <w:sz w:val="48"/>
          <w:szCs w:val="48"/>
        </w:rPr>
        <w:t xml:space="preserve">EMILIA PROTOCOL</w:t>
      </w:r>
    </w:p>
    <w:p>
      <w:pPr>
        <w:pBdr>
          <w:bottom w:val="single" w:color="B08D35" w:sz="8" w:space="8"/>
        </w:pBdr>
        <w:spacing w:after="100"/>
        <w:jc w:val="center"/>
      </w:pPr>
      <w:r>
        <w:rPr>
          <w:rFonts w:ascii="Arial" w:cs="Arial" w:eastAsia="Arial" w:hAnsi="Arial"/>
          <w:i/>
          <w:iCs/>
          <w:color w:val="555555"/>
          <w:sz w:val="24"/>
          <w:szCs w:val="24"/>
        </w:rPr>
        <w:t xml:space="preserve">An Open Standard for Verifiable Pre-Action Authorization in AI Systems</w:t>
      </w:r>
    </w:p>
    <w:p>
      <w:pPr>
        <w:spacing w:before="600"/>
      </w:pPr>
    </w:p>
    <w:p>
      <w:pPr>
        <w:spacing w:after="80"/>
        <w:jc w:val="center"/>
      </w:pPr>
      <w:r>
        <w:rPr>
          <w:rFonts w:ascii="Arial" w:cs="Arial" w:eastAsia="Arial" w:hAnsi="Arial"/>
          <w:color w:val="555555"/>
          <w:sz w:val="22"/>
          <w:szCs w:val="22"/>
        </w:rPr>
        <w:t xml:space="preserve">AWS Open Source Fund / AI &amp; ML Research Grants</w:t>
      </w:r>
    </w:p>
    <w:p>
      <w:pPr>
        <w:spacing w:after="80"/>
        <w:jc w:val="center"/>
      </w:pPr>
      <w:r>
        <w:rPr>
          <w:rFonts w:ascii="Arial" w:cs="Arial" w:eastAsia="Arial" w:hAnsi="Arial"/>
          <w:color w:val="555555"/>
          <w:sz w:val="22"/>
          <w:szCs w:val="22"/>
        </w:rPr>
        <w:t xml:space="preserve">April 2026</w:t>
      </w:r>
    </w:p>
    <w:p>
      <w:pPr>
        <w:spacing w:after="80"/>
        <w:jc w:val="center"/>
      </w:pPr>
      <w:r>
        <w:rPr>
          <w:rFonts w:ascii="Arial" w:cs="Arial" w:eastAsia="Arial" w:hAnsi="Arial"/>
          <w:b/>
          <w:bCs/>
          <w:color w:val="222222"/>
          <w:sz w:val="22"/>
          <w:szCs w:val="22"/>
        </w:rPr>
        <w:t xml:space="preserve">Applicant: Iman Schrock, Protocol Author &amp; CEO</w:t>
      </w:r>
    </w:p>
    <w:p>
      <w:pPr>
        <w:spacing w:after="80"/>
        <w:jc w:val="center"/>
      </w:pPr>
      <w:r>
        <w:rPr>
          <w:rFonts w:ascii="Arial" w:cs="Arial" w:eastAsia="Arial" w:hAnsi="Arial"/>
          <w:color w:val="555555"/>
          <w:sz w:val="20"/>
          <w:szCs w:val="20"/>
        </w:rPr>
        <w:t xml:space="preserve">License: Apache 2.0  |  github.com/emiliaprotocol/emilia-protocol</w:t>
      </w:r>
    </w:p>
    <w:p>
      <w:r>
        <w:br w:type="page"/>
      </w:r>
    </w:p>
    <w:p>
      <w:pPr>
        <w:pStyle w:val="Heading1"/>
        <w:spacing w:after="200" w:before="360"/>
      </w:pPr>
      <w:r>
        <w:rPr>
          <w:rFonts w:ascii="Arial" w:cs="Arial" w:eastAsia="Arial" w:hAnsi="Arial"/>
          <w:b/>
          <w:bCs/>
          <w:color w:val="1B4F72"/>
          <w:sz w:val="32"/>
          <w:szCs w:val="32"/>
        </w:rPr>
        <w:t xml:space="preserve">Executive Summary</w:t>
      </w:r>
    </w:p>
    <w:p>
      <w:pPr>
        <w:spacing w:after="160"/>
      </w:pPr>
      <w:r>
        <w:rPr>
          <w:rFonts w:ascii="Arial" w:cs="Arial" w:eastAsia="Arial" w:hAnsi="Arial"/>
          <w:color w:val="333333"/>
          <w:sz w:val="22"/>
          <w:szCs w:val="22"/>
        </w:rPr>
        <w:t xml:space="preserve">EMILIA Protocol (EP) is an open-source trust enforcement protocol for AI agent systems. It provides cryptographically verifiable, policy-bound, pre-action authorization — ensuring that every consequential AI action has a tamper-evident record of who authorized it, under what policy, and with what evidence.</w:t>
      </w:r>
    </w:p>
    <w:p>
      <w:pPr>
        <w:spacing w:after="160"/>
      </w:pPr>
      <w:r>
        <w:rPr>
          <w:rFonts w:ascii="Arial" w:cs="Arial" w:eastAsia="Arial" w:hAnsi="Arial"/>
          <w:color w:val="333333"/>
          <w:sz w:val="22"/>
          <w:szCs w:val="22"/>
        </w:rPr>
        <w:t xml:space="preserve">EP is the missing governance layer between model capability and action execution. As AI systems move from recommendation to autonomous execution across government, financial, and enterprise workflows, the need for a standardized, verifiable authorization protocol becomes critical.</w:t>
      </w:r>
    </w:p>
    <w:p>
      <w:pPr>
        <w:spacing w:after="60" w:before="120"/>
      </w:pPr>
      <w:r>
        <w:rPr>
          <w:rFonts w:ascii="Arial" w:cs="Arial" w:eastAsia="Arial" w:hAnsi="Arial"/>
          <w:b/>
          <w:bCs/>
          <w:color w:val="222222"/>
          <w:sz w:val="22"/>
          <w:szCs w:val="22"/>
        </w:rPr>
        <w:t xml:space="preserve">We seek AWS funding to:</w:t>
      </w:r>
    </w:p>
    <w:p>
      <w:pPr>
        <w:pStyle w:val="ListParagraph"/>
        <w:numPr>
          <w:ilvl w:val="0"/>
          <w:numId w:val="2"/>
        </w:numPr>
        <w:spacing w:after="80"/>
      </w:pPr>
      <w:r>
        <w:rPr>
          <w:rFonts w:ascii="Arial" w:cs="Arial" w:eastAsia="Arial" w:hAnsi="Arial"/>
          <w:color w:val="333333"/>
          <w:sz w:val="22"/>
          <w:szCs w:val="22"/>
        </w:rPr>
        <w:t xml:space="preserve">Build cross-language standalone verification libraries (JS shipped, Python/Go/Rust needed)</w:t>
      </w:r>
    </w:p>
    <w:p>
      <w:pPr>
        <w:pStyle w:val="ListParagraph"/>
        <w:numPr>
          <w:ilvl w:val="0"/>
          <w:numId w:val="2"/>
        </w:numPr>
        <w:spacing w:after="80"/>
      </w:pPr>
      <w:r>
        <w:rPr>
          <w:rFonts w:ascii="Arial" w:cs="Arial" w:eastAsia="Arial" w:hAnsi="Arial"/>
          <w:color w:val="333333"/>
          <w:sz w:val="22"/>
          <w:szCs w:val="22"/>
        </w:rPr>
        <w:t xml:space="preserve">Deploy federation infrastructure on AWS (CloudFormation template exists)</w:t>
      </w:r>
    </w:p>
    <w:p>
      <w:pPr>
        <w:pStyle w:val="ListParagraph"/>
        <w:numPr>
          <w:ilvl w:val="0"/>
          <w:numId w:val="2"/>
        </w:numPr>
        <w:spacing w:after="80"/>
      </w:pPr>
      <w:r>
        <w:rPr>
          <w:rFonts w:ascii="Arial" w:cs="Arial" w:eastAsia="Arial" w:hAnsi="Arial"/>
          <w:color w:val="333333"/>
          <w:sz w:val="22"/>
          <w:szCs w:val="22"/>
        </w:rPr>
        <w:t xml:space="preserve">Complete SOC 2 Type II compliance certification</w:t>
      </w:r>
    </w:p>
    <w:p>
      <w:pPr>
        <w:pStyle w:val="ListParagraph"/>
        <w:numPr>
          <w:ilvl w:val="0"/>
          <w:numId w:val="2"/>
        </w:numPr>
        <w:spacing w:after="80"/>
      </w:pPr>
      <w:r>
        <w:rPr>
          <w:rFonts w:ascii="Arial" w:cs="Arial" w:eastAsia="Arial" w:hAnsi="Arial"/>
          <w:color w:val="333333"/>
          <w:sz w:val="22"/>
          <w:szCs w:val="22"/>
        </w:rPr>
        <w:t xml:space="preserve">Create an LLM trust evaluation benchmark (EP Eval)</w:t>
      </w:r>
    </w:p>
    <w:p>
      <w:pPr>
        <w:pBdr>
          <w:bottom w:val="single" w:color="B08D35" w:sz="6" w:space="1"/>
        </w:pBdr>
        <w:spacing w:after="200" w:before="200"/>
      </w:pPr>
    </w:p>
    <w:p>
      <w:pPr>
        <w:pStyle w:val="Heading1"/>
        <w:spacing w:after="200" w:before="360"/>
      </w:pPr>
      <w:r>
        <w:rPr>
          <w:rFonts w:ascii="Arial" w:cs="Arial" w:eastAsia="Arial" w:hAnsi="Arial"/>
          <w:b/>
          <w:bCs/>
          <w:color w:val="1B4F72"/>
          <w:sz w:val="32"/>
          <w:szCs w:val="32"/>
        </w:rPr>
        <w:t xml:space="preserve">Problem Statement</w:t>
      </w:r>
    </w:p>
    <w:p>
      <w:pPr>
        <w:spacing w:after="160"/>
      </w:pPr>
      <w:r>
        <w:rPr>
          <w:rFonts w:ascii="Arial" w:cs="Arial" w:eastAsia="Arial" w:hAnsi="Arial"/>
          <w:color w:val="333333"/>
          <w:sz w:val="22"/>
          <w:szCs w:val="22"/>
        </w:rPr>
        <w:t xml:space="preserve">AI agents are now executing consequential real-world actions: deploying code, transferring funds, modifying infrastructure, making medical recommendations, and acting in government workflows. The governance question is no longer “is this model accurate?” but “did this AI have authorization to take this action?”</w:t>
      </w:r>
    </w:p>
    <w:p>
      <w:pPr>
        <w:spacing w:after="60" w:before="120"/>
      </w:pPr>
      <w:r>
        <w:rPr>
          <w:rFonts w:ascii="Arial" w:cs="Arial" w:eastAsia="Arial" w:hAnsi="Arial"/>
          <w:b/>
          <w:bCs/>
          <w:color w:val="222222"/>
          <w:sz w:val="22"/>
          <w:szCs w:val="22"/>
        </w:rPr>
        <w:t xml:space="preserve">Current approaches fail because:</w:t>
      </w:r>
    </w:p>
    <w:p>
      <w:pPr>
        <w:pStyle w:val="ListParagraph"/>
        <w:numPr>
          <w:ilvl w:val="0"/>
          <w:numId w:val="3"/>
        </w:numPr>
        <w:spacing w:after="80"/>
      </w:pPr>
      <w:r>
        <w:rPr>
          <w:rFonts w:ascii="Arial" w:cs="Arial" w:eastAsia="Arial" w:hAnsi="Arial"/>
          <w:color w:val="333333"/>
          <w:sz w:val="22"/>
          <w:szCs w:val="22"/>
        </w:rPr>
        <w:t xml:space="preserve">Proprietary audit systems are fragmented, non-interoperable, and unverifiable by third parties</w:t>
      </w:r>
    </w:p>
    <w:p>
      <w:pPr>
        <w:pStyle w:val="ListParagraph"/>
        <w:numPr>
          <w:ilvl w:val="0"/>
          <w:numId w:val="3"/>
        </w:numPr>
        <w:spacing w:after="80"/>
      </w:pPr>
      <w:r>
        <w:rPr>
          <w:rFonts w:ascii="Arial" w:cs="Arial" w:eastAsia="Arial" w:hAnsi="Arial"/>
          <w:color w:val="333333"/>
          <w:sz w:val="22"/>
          <w:szCs w:val="22"/>
        </w:rPr>
        <w:t xml:space="preserve">Reputation systems produce opaque scores without cryptographic verifiability</w:t>
      </w:r>
    </w:p>
    <w:p>
      <w:pPr>
        <w:pStyle w:val="ListParagraph"/>
        <w:numPr>
          <w:ilvl w:val="0"/>
          <w:numId w:val="3"/>
        </w:numPr>
        <w:spacing w:after="80"/>
      </w:pPr>
      <w:r>
        <w:rPr>
          <w:rFonts w:ascii="Arial" w:cs="Arial" w:eastAsia="Arial" w:hAnsi="Arial"/>
          <w:color w:val="333333"/>
          <w:sz w:val="22"/>
          <w:szCs w:val="22"/>
        </w:rPr>
        <w:t xml:space="preserve">Access control systems (RBAC, ABAC) weren’t designed for AI-agent-to-AI-agent trust decisions</w:t>
      </w:r>
    </w:p>
    <w:p>
      <w:pPr>
        <w:pStyle w:val="ListParagraph"/>
        <w:numPr>
          <w:ilvl w:val="0"/>
          <w:numId w:val="3"/>
        </w:numPr>
        <w:spacing w:after="80"/>
      </w:pPr>
      <w:r>
        <w:rPr>
          <w:rFonts w:ascii="Arial" w:cs="Arial" w:eastAsia="Arial" w:hAnsi="Arial"/>
          <w:color w:val="333333"/>
          <w:sz w:val="22"/>
          <w:szCs w:val="22"/>
        </w:rPr>
        <w:t xml:space="preserve">No existing protocol provides self-verifying, portable, privacy-preserving trust evidence</w:t>
      </w:r>
    </w:p>
    <w:p>
      <w:pPr>
        <w:pBdr>
          <w:bottom w:val="single" w:color="B08D35" w:sz="6" w:space="1"/>
        </w:pBdr>
        <w:spacing w:after="200" w:before="200"/>
      </w:pPr>
    </w:p>
    <w:p>
      <w:pPr>
        <w:pStyle w:val="Heading1"/>
        <w:spacing w:after="200" w:before="360"/>
      </w:pPr>
      <w:r>
        <w:rPr>
          <w:rFonts w:ascii="Arial" w:cs="Arial" w:eastAsia="Arial" w:hAnsi="Arial"/>
          <w:b/>
          <w:bCs/>
          <w:color w:val="1B4F72"/>
          <w:sz w:val="32"/>
          <w:szCs w:val="32"/>
        </w:rPr>
        <w:t xml:space="preserve">Solution: EMILIA Protocol</w:t>
      </w:r>
    </w:p>
    <w:p>
      <w:pPr>
        <w:spacing w:after="160"/>
      </w:pPr>
      <w:r>
        <w:rPr>
          <w:rFonts w:ascii="Arial" w:cs="Arial" w:eastAsia="Arial" w:hAnsi="Arial"/>
          <w:color w:val="333333"/>
          <w:sz w:val="22"/>
          <w:szCs w:val="22"/>
        </w:rPr>
        <w:t xml:space="preserve">EP provides four composable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c>
          <w:tcPr>
            <w:tcW w:type="dxa" w:w="180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Layer</w:t>
            </w:r>
          </w:p>
        </w:tc>
        <w:tc>
          <w:tcPr>
            <w:tcW w:type="dxa" w:w="320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Function</w:t>
            </w:r>
          </w:p>
        </w:tc>
        <w:tc>
          <w:tcPr>
            <w:tcW w:type="dxa" w:w="436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Innovation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555555"/>
                <w:sz w:val="20"/>
                <w:szCs w:val="20"/>
              </w:rPr>
              <w:t xml:space="preserve"/>
            </w:r>
            <w:r>
              <w:rPr>
                <w:rFonts w:ascii="Arial" w:cs="Arial" w:eastAsia="Arial" w:hAnsi="Arial"/>
                <w:b/>
                <w:bCs/>
                <w:color w:val="222222"/>
                <w:sz w:val="20"/>
                <w:szCs w:val="20"/>
              </w:rPr>
              <w:t xml:space="preserve">Eye</w:t>
            </w:r>
            <w:r>
              <w:rPr>
                <w:rFonts w:ascii="Arial" w:cs="Arial" w:eastAsia="Arial" w:hAnsi="Arial"/>
                <w:color w:val="555555"/>
                <w:sz w:val="20"/>
                <w:szCs w:val="20"/>
              </w:rPr>
              <w:t xml:space="preserve"/>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555555"/>
                <w:sz w:val="20"/>
                <w:szCs w:val="20"/>
              </w:rPr>
              <w:t xml:space="preserve">Observes risk patterns (OBSERVE→SHADOW→ENFORCE)</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555555"/>
                <w:sz w:val="20"/>
                <w:szCs w:val="20"/>
              </w:rPr>
              <w:t xml:space="preserve">Graduated enforcement without binary on/off</w:t>
            </w:r>
          </w:p>
        </w:tc>
      </w:tr>
      <w:tr>
        <w:tc>
          <w:tcPr>
            <w:tcW w:type="dxa" w:w="1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555555"/>
                <w:sz w:val="20"/>
                <w:szCs w:val="20"/>
              </w:rPr>
              <w:t xml:space="preserve"/>
            </w:r>
            <w:r>
              <w:rPr>
                <w:rFonts w:ascii="Arial" w:cs="Arial" w:eastAsia="Arial" w:hAnsi="Arial"/>
                <w:b/>
                <w:bCs/>
                <w:color w:val="222222"/>
                <w:sz w:val="20"/>
                <w:szCs w:val="20"/>
              </w:rPr>
              <w:t xml:space="preserve">Handshake</w:t>
            </w:r>
            <w:r>
              <w:rPr>
                <w:rFonts w:ascii="Arial" w:cs="Arial" w:eastAsia="Arial" w:hAnsi="Arial"/>
                <w:color w:val="555555"/>
                <w:sz w:val="20"/>
                <w:szCs w:val="20"/>
              </w:rPr>
              <w:t xml:space="preserve"/>
            </w:r>
          </w:p>
        </w:tc>
        <w:tc>
          <w:tcPr>
            <w:tcW w:type="dxa" w:w="32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555555"/>
                <w:sz w:val="20"/>
                <w:szCs w:val="20"/>
              </w:rPr>
              <w:t xml:space="preserve">Pre-action authorization ceremony</w:t>
            </w:r>
          </w:p>
        </w:tc>
        <w:tc>
          <w:tcPr>
            <w:tcW w:type="dxa" w:w="436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555555"/>
                <w:sz w:val="20"/>
                <w:szCs w:val="20"/>
              </w:rPr>
              <w:t xml:space="preserve">7-property cryptographic binding, replay-resistant, one-time consumption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555555"/>
                <w:sz w:val="20"/>
                <w:szCs w:val="20"/>
              </w:rPr>
              <w:t xml:space="preserve"/>
            </w:r>
            <w:r>
              <w:rPr>
                <w:rFonts w:ascii="Arial" w:cs="Arial" w:eastAsia="Arial" w:hAnsi="Arial"/>
                <w:b/>
                <w:bCs/>
                <w:color w:val="222222"/>
                <w:sz w:val="20"/>
                <w:szCs w:val="20"/>
              </w:rPr>
              <w:t xml:space="preserve">Signoff</w:t>
            </w:r>
            <w:r>
              <w:rPr>
                <w:rFonts w:ascii="Arial" w:cs="Arial" w:eastAsia="Arial" w:hAnsi="Arial"/>
                <w:color w:val="555555"/>
                <w:sz w:val="20"/>
                <w:szCs w:val="20"/>
              </w:rPr>
              <w:t xml:space="preserve"/>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555555"/>
                <w:sz w:val="20"/>
                <w:szCs w:val="20"/>
              </w:rPr>
              <w:t xml:space="preserve">Named human accountability</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555555"/>
                <w:sz w:val="20"/>
                <w:szCs w:val="20"/>
              </w:rPr>
              <w:t xml:space="preserve">Specific principal assumes irrevocable ownership of outcome</w:t>
            </w:r>
          </w:p>
        </w:tc>
      </w:tr>
      <w:tr>
        <w:tc>
          <w:tcPr>
            <w:tcW w:type="dxa" w:w="1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555555"/>
                <w:sz w:val="20"/>
                <w:szCs w:val="20"/>
              </w:rPr>
              <w:t xml:space="preserve"/>
            </w:r>
            <w:r>
              <w:rPr>
                <w:rFonts w:ascii="Arial" w:cs="Arial" w:eastAsia="Arial" w:hAnsi="Arial"/>
                <w:b/>
                <w:bCs/>
                <w:color w:val="222222"/>
                <w:sz w:val="20"/>
                <w:szCs w:val="20"/>
              </w:rPr>
              <w:t xml:space="preserve">Commit</w:t>
            </w:r>
            <w:r>
              <w:rPr>
                <w:rFonts w:ascii="Arial" w:cs="Arial" w:eastAsia="Arial" w:hAnsi="Arial"/>
                <w:color w:val="555555"/>
                <w:sz w:val="20"/>
                <w:szCs w:val="20"/>
              </w:rPr>
              <w:t xml:space="preserve"/>
            </w:r>
          </w:p>
        </w:tc>
        <w:tc>
          <w:tcPr>
            <w:tcW w:type="dxa" w:w="32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555555"/>
                <w:sz w:val="20"/>
                <w:szCs w:val="20"/>
              </w:rPr>
              <w:t xml:space="preserve">Atomic action seal</w:t>
            </w:r>
          </w:p>
        </w:tc>
        <w:tc>
          <w:tcPr>
            <w:tcW w:type="dxa" w:w="436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555555"/>
                <w:sz w:val="20"/>
                <w:szCs w:val="20"/>
              </w:rPr>
              <w:t xml:space="preserve">Immutable, hash-linked, blockchain-anchored. No partial states.</w:t>
            </w:r>
          </w:p>
        </w:tc>
      </w:tr>
    </w:tbl>
    <w:p>
      <w:pPr>
        <w:spacing w:before="240"/>
      </w:pPr>
    </w:p>
    <w:p>
      <w:pPr>
        <w:pStyle w:val="Heading2"/>
        <w:spacing w:after="200" w:before="360"/>
      </w:pPr>
      <w:r>
        <w:rPr>
          <w:rFonts w:ascii="Arial" w:cs="Arial" w:eastAsia="Arial" w:hAnsi="Arial"/>
          <w:b/>
          <w:bCs/>
          <w:color w:val="1B4F72"/>
          <w:sz w:val="26"/>
          <w:szCs w:val="26"/>
        </w:rPr>
        <w:t xml:space="preserve">Key Technical Innovations</w:t>
      </w:r>
    </w:p>
    <w:p>
      <w:pPr>
        <w:pStyle w:val="ListParagraph"/>
        <w:numPr>
          <w:ilvl w:val="0"/>
          <w:numId w:val="4"/>
        </w:numPr>
        <w:spacing w:after="80"/>
      </w:pPr>
      <w:r>
        <w:rPr>
          <w:rFonts w:ascii="Arial" w:cs="Arial" w:eastAsia="Arial" w:hAnsi="Arial"/>
          <w:color w:val="333333"/>
          <w:sz w:val="22"/>
          <w:szCs w:val="22"/>
        </w:rPr>
        <w:t xml:space="preserve">Self-verifying trust receipts: EP-RECEIPT-v1 documents are Ed25519-signed, Merkle-anchored, and verifiable without any EP infrastructure — like Bitcoin transactions.</w:t>
      </w:r>
    </w:p>
    <w:p>
      <w:pPr>
        <w:pStyle w:val="ListParagraph"/>
        <w:numPr>
          <w:ilvl w:val="0"/>
          <w:numId w:val="4"/>
        </w:numPr>
        <w:spacing w:after="80"/>
      </w:pPr>
      <w:r>
        <w:rPr>
          <w:rFonts w:ascii="Arial" w:cs="Arial" w:eastAsia="Arial" w:hAnsi="Arial"/>
          <w:color w:val="333333"/>
          <w:sz w:val="22"/>
          <w:szCs w:val="22"/>
        </w:rPr>
        <w:t xml:space="preserve">Privacy-preserving trust proofs: Entities can prove trust thresholds without revealing receipts or counterparties (HMAC-SHA256 commitment scheme).</w:t>
      </w:r>
    </w:p>
    <w:p>
      <w:pPr>
        <w:pStyle w:val="ListParagraph"/>
        <w:numPr>
          <w:ilvl w:val="0"/>
          <w:numId w:val="4"/>
        </w:numPr>
        <w:spacing w:after="80"/>
      </w:pPr>
      <w:r>
        <w:rPr>
          <w:rFonts w:ascii="Arial" w:cs="Arial" w:eastAsia="Arial" w:hAnsi="Arial"/>
          <w:color w:val="333333"/>
          <w:sz w:val="22"/>
          <w:szCs w:val="22"/>
        </w:rPr>
        <w:t xml:space="preserve">Formal verification: 20 TLA+ safety properties and 32 Alloy relational facts, machine-checked and CI-enforced.</w:t>
      </w:r>
    </w:p>
    <w:p>
      <w:pPr>
        <w:pStyle w:val="ListParagraph"/>
        <w:numPr>
          <w:ilvl w:val="0"/>
          <w:numId w:val="4"/>
        </w:numPr>
        <w:spacing w:after="80"/>
      </w:pPr>
      <w:r>
        <w:rPr>
          <w:rFonts w:ascii="Arial" w:cs="Arial" w:eastAsia="Arial" w:hAnsi="Arial"/>
          <w:color w:val="333333"/>
          <w:sz w:val="22"/>
          <w:szCs w:val="22"/>
        </w:rPr>
        <w:t xml:space="preserve">Federation architecture: Multiple independent operators issue and cross-verify receipts via shared cryptographic proofs.</w:t>
      </w:r>
    </w:p>
    <w:p>
      <w:pPr>
        <w:pBdr>
          <w:bottom w:val="single" w:color="B08D35" w:sz="6" w:space="1"/>
        </w:pBdr>
        <w:spacing w:after="200" w:before="200"/>
      </w:pPr>
    </w:p>
    <w:p>
      <w:pPr>
        <w:pStyle w:val="Heading1"/>
        <w:spacing w:after="200" w:before="360"/>
      </w:pPr>
      <w:r>
        <w:rPr>
          <w:rFonts w:ascii="Arial" w:cs="Arial" w:eastAsia="Arial" w:hAnsi="Arial"/>
          <w:b/>
          <w:bCs/>
          <w:color w:val="1B4F72"/>
          <w:sz w:val="32"/>
          <w:szCs w:val="32"/>
        </w:rPr>
        <w:t xml:space="preserve">Current State (Production-Ready)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468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555555"/>
                <w:sz w:val="20"/>
                <w:szCs w:val="20"/>
              </w:rPr>
              <w:t xml:space="preserve">Live handshakes processed</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555555"/>
                <w:sz w:val="20"/>
                <w:szCs w:val="20"/>
              </w:rPr>
              <w:t xml:space="preserve">112,000+</w:t>
            </w:r>
          </w:p>
        </w:tc>
      </w:tr>
      <w:tr>
        <w:tc>
          <w:tcPr>
            <w:tcW w:type="dxa" w:w="468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555555"/>
                <w:sz w:val="20"/>
                <w:szCs w:val="20"/>
              </w:rPr>
              <w:t xml:space="preserve">Automated tests</w:t>
            </w:r>
          </w:p>
        </w:tc>
        <w:tc>
          <w:tcPr>
            <w:tcW w:type="dxa" w:w="468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555555"/>
                <w:sz w:val="20"/>
                <w:szCs w:val="20"/>
              </w:rPr>
              <w:t xml:space="preserve">3,277 across 125 files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555555"/>
                <w:sz w:val="20"/>
                <w:szCs w:val="20"/>
              </w:rPr>
              <w:t xml:space="preserve">Adversarial/red-team tests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555555"/>
                <w:sz w:val="20"/>
                <w:szCs w:val="20"/>
              </w:rPr>
              <w:t xml:space="preserve">116 cases</w:t>
            </w:r>
          </w:p>
        </w:tc>
      </w:tr>
      <w:tr>
        <w:tc>
          <w:tcPr>
            <w:tcW w:type="dxa" w:w="468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555555"/>
                <w:sz w:val="20"/>
                <w:szCs w:val="20"/>
              </w:rPr>
              <w:t xml:space="preserve">Formal verification</w:t>
            </w:r>
          </w:p>
        </w:tc>
        <w:tc>
          <w:tcPr>
            <w:tcW w:type="dxa" w:w="468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555555"/>
                <w:sz w:val="20"/>
                <w:szCs w:val="20"/>
              </w:rPr>
              <w:t xml:space="preserve">TLA+ (7,857 states) + Alloy (32 facts, 15 assertions)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555555"/>
                <w:sz w:val="20"/>
                <w:szCs w:val="20"/>
              </w:rPr>
              <w:t xml:space="preserve">Database tables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555555"/>
                <w:sz w:val="20"/>
                <w:szCs w:val="20"/>
              </w:rPr>
              <w:t xml:space="preserve">50 (all RLS-hardened)</w:t>
            </w:r>
          </w:p>
        </w:tc>
      </w:tr>
      <w:tr>
        <w:tc>
          <w:tcPr>
            <w:tcW w:type="dxa" w:w="468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555555"/>
                <w:sz w:val="20"/>
                <w:szCs w:val="20"/>
              </w:rPr>
              <w:t xml:space="preserve">API endpoints</w:t>
            </w:r>
          </w:p>
        </w:tc>
        <w:tc>
          <w:tcPr>
            <w:tcW w:type="dxa" w:w="468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555555"/>
                <w:sz w:val="20"/>
                <w:szCs w:val="20"/>
              </w:rPr>
              <w:t xml:space="preserve">45+ (all rate-limited, auth-enforced)</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555555"/>
                <w:sz w:val="20"/>
                <w:szCs w:val="20"/>
              </w:rPr>
              <w:t xml:space="preserve">MCP tools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555555"/>
                <w:sz w:val="20"/>
                <w:szCs w:val="20"/>
              </w:rPr>
              <w:t xml:space="preserve">34 (native AI agent integration)</w:t>
            </w:r>
          </w:p>
        </w:tc>
      </w:tr>
      <w:tr>
        <w:tc>
          <w:tcPr>
            <w:tcW w:type="dxa" w:w="468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555555"/>
                <w:sz w:val="20"/>
                <w:szCs w:val="20"/>
              </w:rPr>
              <w:t xml:space="preserve">SDKs</w:t>
            </w:r>
          </w:p>
        </w:tc>
        <w:tc>
          <w:tcPr>
            <w:tcW w:type="dxa" w:w="468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555555"/>
                <w:sz w:val="20"/>
                <w:szCs w:val="20"/>
              </w:rPr>
              <w:t xml:space="preserve">TypeScript + Python</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555555"/>
                <w:sz w:val="20"/>
                <w:szCs w:val="20"/>
              </w:rPr>
              <w:t xml:space="preserve">Blockchain anchoring</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555555"/>
                <w:sz w:val="20"/>
                <w:szCs w:val="20"/>
              </w:rPr>
              <w:t xml:space="preserve">Base L2, Merkle roots, ~$0.60/month</w:t>
            </w:r>
          </w:p>
        </w:tc>
      </w:tr>
      <w:tr>
        <w:tc>
          <w:tcPr>
            <w:tcW w:type="dxa" w:w="468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555555"/>
                <w:sz w:val="20"/>
                <w:szCs w:val="20"/>
              </w:rPr>
              <w:t xml:space="preserve">Compliance mappings</w:t>
            </w:r>
          </w:p>
        </w:tc>
        <w:tc>
          <w:tcPr>
            <w:tcW w:type="dxa" w:w="468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555555"/>
                <w:sz w:val="20"/>
                <w:szCs w:val="20"/>
              </w:rPr>
              <w:t xml:space="preserve">NIST AI RMF (38/38), EU AI Act (Articles 9–15, 26)</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555555"/>
                <w:sz w:val="20"/>
                <w:szCs w:val="20"/>
              </w:rPr>
              <w:t xml:space="preserve">Protocol governance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555555"/>
                <w:sz w:val="20"/>
                <w:szCs w:val="20"/>
              </w:rPr>
              <w:t xml:space="preserve">PIP process (6 accepted PIPs)</w:t>
            </w:r>
          </w:p>
        </w:tc>
      </w:tr>
    </w:tbl>
    <w:p>
      <w:pPr>
        <w:pBdr>
          <w:bottom w:val="single" w:color="B08D35" w:sz="6" w:space="1"/>
        </w:pBdr>
        <w:spacing w:after="200" w:before="200"/>
      </w:pPr>
    </w:p>
    <w:p>
      <w:pPr>
        <w:pStyle w:val="Heading1"/>
        <w:spacing w:after="200" w:before="360"/>
      </w:pPr>
      <w:r>
        <w:rPr>
          <w:rFonts w:ascii="Arial" w:cs="Arial" w:eastAsia="Arial" w:hAnsi="Arial"/>
          <w:b/>
          <w:bCs/>
          <w:color w:val="1B4F72"/>
          <w:sz w:val="32"/>
          <w:szCs w:val="32"/>
        </w:rPr>
        <w:t xml:space="preserve">Funding Request</w:t>
      </w:r>
    </w:p>
    <w:p>
      <w:pPr>
        <w:spacing w:after="160"/>
      </w:pPr>
      <w:r>
        <w:rPr>
          <w:rFonts w:ascii="Arial" w:cs="Arial" w:eastAsia="Arial" w:hAnsi="Arial"/>
          <w:b/>
          <w:bCs/>
          <w:color w:val="222222"/>
          <w:sz w:val="22"/>
          <w:szCs w:val="22"/>
        </w:rPr>
        <w:t xml:space="preserve">Total requested: </w:t>
      </w:r>
      <w:r>
        <w:rPr>
          <w:rFonts w:ascii="Arial" w:cs="Arial" w:eastAsia="Arial" w:hAnsi="Arial"/>
          <w:color w:val="333333"/>
          <w:sz w:val="22"/>
          <w:szCs w:val="22"/>
        </w:rPr>
        <w:t xml:space="preserve">$150,000 over 12 months</w:t>
      </w:r>
    </w:p>
    <w:p>
      <w:pPr>
        <w:spacing w:before="160"/>
      </w:pPr>
    </w:p>
    <w:p>
      <w:pPr>
        <w:pStyle w:val="Heading2"/>
        <w:spacing w:after="200" w:before="360"/>
      </w:pPr>
      <w:r>
        <w:rPr>
          <w:rFonts w:ascii="Arial" w:cs="Arial" w:eastAsia="Arial" w:hAnsi="Arial"/>
          <w:b/>
          <w:bCs/>
          <w:color w:val="1B4F72"/>
          <w:sz w:val="26"/>
          <w:szCs w:val="26"/>
        </w:rPr>
        <w:t xml:space="preserve">Budget Breakdown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200"/>
        <w:gridCol w:w="5360"/>
      </w:tblGrid>
      <w:tr>
        <w:tc>
          <w:tcPr>
            <w:tcW w:type="dxa" w:w="280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Item</w:t>
            </w:r>
          </w:p>
        </w:tc>
        <w:tc>
          <w:tcPr>
            <w:tcW w:type="dxa" w:w="120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Amount</w:t>
            </w:r>
          </w:p>
        </w:tc>
        <w:tc>
          <w:tcPr>
            <w:tcW w:type="dxa" w:w="536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555555"/>
                <w:sz w:val="20"/>
                <w:szCs w:val="20"/>
              </w:rPr>
              <w:t xml:space="preserve"/>
            </w:r>
            <w:r>
              <w:rPr>
                <w:rFonts w:ascii="Arial" w:cs="Arial" w:eastAsia="Arial" w:hAnsi="Arial"/>
                <w:b/>
                <w:bCs/>
                <w:color w:val="222222"/>
                <w:sz w:val="20"/>
                <w:szCs w:val="20"/>
              </w:rPr>
              <w:t xml:space="preserve">Standalone verification library</w:t>
            </w:r>
            <w:r>
              <w:rPr>
                <w:rFonts w:ascii="Arial" w:cs="Arial" w:eastAsia="Arial" w:hAnsi="Arial"/>
                <w:color w:val="555555"/>
                <w:sz w:val="20"/>
                <w:szCs w:val="20"/>
              </w:rPr>
              <w:t xml:space="preserve"/>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555555"/>
                <w:sz w:val="20"/>
                <w:szCs w:val="20"/>
              </w:rPr>
              <w:t xml:space="preserve">$25,000</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555555"/>
                <w:sz w:val="20"/>
                <w:szCs w:val="20"/>
              </w:rPr>
              <w:t xml:space="preserve">JS library shipped. Funding covers Python/Go/Rust ports + npm publication + auditing.</w:t>
            </w:r>
          </w:p>
        </w:tc>
      </w:tr>
      <w:tr>
        <w:tc>
          <w:tcPr>
            <w:tcW w:type="dxa" w:w="2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555555"/>
                <w:sz w:val="20"/>
                <w:szCs w:val="20"/>
              </w:rPr>
              <w:t xml:space="preserve"/>
            </w:r>
            <w:r>
              <w:rPr>
                <w:rFonts w:ascii="Arial" w:cs="Arial" w:eastAsia="Arial" w:hAnsi="Arial"/>
                <w:b/>
                <w:bCs/>
                <w:color w:val="222222"/>
                <w:sz w:val="20"/>
                <w:szCs w:val="20"/>
              </w:rPr>
              <w:t xml:space="preserve">Federation infrastructure</w:t>
            </w:r>
            <w:r>
              <w:rPr>
                <w:rFonts w:ascii="Arial" w:cs="Arial" w:eastAsia="Arial" w:hAnsi="Arial"/>
                <w:color w:val="555555"/>
                <w:sz w:val="20"/>
                <w:szCs w:val="20"/>
              </w:rPr>
              <w:t xml:space="preserve"/>
            </w:r>
          </w:p>
        </w:tc>
        <w:tc>
          <w:tcPr>
            <w:tcW w:type="dxa" w:w="12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555555"/>
                <w:sz w:val="20"/>
                <w:szCs w:val="20"/>
              </w:rPr>
              <w:t xml:space="preserve">$40,000</w:t>
            </w:r>
          </w:p>
        </w:tc>
        <w:tc>
          <w:tcPr>
            <w:tcW w:type="dxa" w:w="536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555555"/>
                <w:sz w:val="20"/>
                <w:szCs w:val="20"/>
              </w:rPr>
              <w:t xml:space="preserve">Conformance test passes 7/7. Funding covers AWS CloudFormation deployment, federation registry, cross-operator verification.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555555"/>
                <w:sz w:val="20"/>
                <w:szCs w:val="20"/>
              </w:rPr>
              <w:t xml:space="preserve"/>
            </w:r>
            <w:r>
              <w:rPr>
                <w:rFonts w:ascii="Arial" w:cs="Arial" w:eastAsia="Arial" w:hAnsi="Arial"/>
                <w:b/>
                <w:bCs/>
                <w:color w:val="222222"/>
                <w:sz w:val="20"/>
                <w:szCs w:val="20"/>
              </w:rPr>
              <w:t xml:space="preserve">SOC 2 Type II certification</w:t>
            </w:r>
            <w:r>
              <w:rPr>
                <w:rFonts w:ascii="Arial" w:cs="Arial" w:eastAsia="Arial" w:hAnsi="Arial"/>
                <w:color w:val="555555"/>
                <w:sz w:val="20"/>
                <w:szCs w:val="20"/>
              </w:rPr>
              <w:t xml:space="preserve"/>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555555"/>
                <w:sz w:val="20"/>
                <w:szCs w:val="20"/>
              </w:rPr>
              <w:t xml:space="preserve">$30,000</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555555"/>
                <w:sz w:val="20"/>
                <w:szCs w:val="20"/>
              </w:rPr>
              <w:t xml:space="preserve">Third-party audit (Cure53 or equivalent) + Vanta/Drata continuous compliance monitoring.</w:t>
            </w:r>
          </w:p>
        </w:tc>
      </w:tr>
      <w:tr>
        <w:tc>
          <w:tcPr>
            <w:tcW w:type="dxa" w:w="2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555555"/>
                <w:sz w:val="20"/>
                <w:szCs w:val="20"/>
              </w:rPr>
              <w:t xml:space="preserve"/>
            </w:r>
            <w:r>
              <w:rPr>
                <w:rFonts w:ascii="Arial" w:cs="Arial" w:eastAsia="Arial" w:hAnsi="Arial"/>
                <w:b/>
                <w:bCs/>
                <w:color w:val="222222"/>
                <w:sz w:val="20"/>
                <w:szCs w:val="20"/>
              </w:rPr>
              <w:t xml:space="preserve">EP Eval benchmark</w:t>
            </w:r>
            <w:r>
              <w:rPr>
                <w:rFonts w:ascii="Arial" w:cs="Arial" w:eastAsia="Arial" w:hAnsi="Arial"/>
                <w:color w:val="555555"/>
                <w:sz w:val="20"/>
                <w:szCs w:val="20"/>
              </w:rPr>
              <w:t xml:space="preserve"/>
            </w:r>
          </w:p>
        </w:tc>
        <w:tc>
          <w:tcPr>
            <w:tcW w:type="dxa" w:w="12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555555"/>
                <w:sz w:val="20"/>
                <w:szCs w:val="20"/>
              </w:rPr>
              <w:t xml:space="preserve">$20,000</w:t>
            </w:r>
          </w:p>
        </w:tc>
        <w:tc>
          <w:tcPr>
            <w:tcW w:type="dxa" w:w="536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555555"/>
                <w:sz w:val="20"/>
                <w:szCs w:val="20"/>
              </w:rPr>
              <w:t xml:space="preserve">Open-source benchmark for measuring LLM trust-reasoning capability.</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555555"/>
                <w:sz w:val="20"/>
                <w:szCs w:val="20"/>
              </w:rPr>
              <w:t xml:space="preserve"/>
            </w:r>
            <w:r>
              <w:rPr>
                <w:rFonts w:ascii="Arial" w:cs="Arial" w:eastAsia="Arial" w:hAnsi="Arial"/>
                <w:b/>
                <w:bCs/>
                <w:color w:val="222222"/>
                <w:sz w:val="20"/>
                <w:szCs w:val="20"/>
              </w:rPr>
              <w:t xml:space="preserve">Infrastructure</w:t>
            </w:r>
            <w:r>
              <w:rPr>
                <w:rFonts w:ascii="Arial" w:cs="Arial" w:eastAsia="Arial" w:hAnsi="Arial"/>
                <w:color w:val="555555"/>
                <w:sz w:val="20"/>
                <w:szCs w:val="20"/>
              </w:rPr>
              <w:t xml:space="preserve"/>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555555"/>
                <w:sz w:val="20"/>
                <w:szCs w:val="20"/>
              </w:rPr>
              <w:t xml:space="preserve">$15,000</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555555"/>
                <w:sz w:val="20"/>
                <w:szCs w:val="20"/>
              </w:rPr>
              <w:t xml:space="preserve">AWS hosting for federation registry, CI/CD, staging environments.</w:t>
            </w:r>
          </w:p>
        </w:tc>
      </w:tr>
      <w:tr>
        <w:tc>
          <w:tcPr>
            <w:tcW w:type="dxa" w:w="2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555555"/>
                <w:sz w:val="20"/>
                <w:szCs w:val="20"/>
              </w:rPr>
              <w:t xml:space="preserve"/>
            </w:r>
            <w:r>
              <w:rPr>
                <w:rFonts w:ascii="Arial" w:cs="Arial" w:eastAsia="Arial" w:hAnsi="Arial"/>
                <w:b/>
                <w:bCs/>
                <w:color w:val="222222"/>
                <w:sz w:val="20"/>
                <w:szCs w:val="20"/>
              </w:rPr>
              <w:t xml:space="preserve">Community &amp; documentation</w:t>
            </w:r>
            <w:r>
              <w:rPr>
                <w:rFonts w:ascii="Arial" w:cs="Arial" w:eastAsia="Arial" w:hAnsi="Arial"/>
                <w:color w:val="555555"/>
                <w:sz w:val="20"/>
                <w:szCs w:val="20"/>
              </w:rPr>
              <w:t xml:space="preserve"/>
            </w:r>
          </w:p>
        </w:tc>
        <w:tc>
          <w:tcPr>
            <w:tcW w:type="dxa" w:w="12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555555"/>
                <w:sz w:val="20"/>
                <w:szCs w:val="20"/>
              </w:rPr>
              <w:t xml:space="preserve">$10,000</w:t>
            </w:r>
          </w:p>
        </w:tc>
        <w:tc>
          <w:tcPr>
            <w:tcW w:type="dxa" w:w="536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555555"/>
                <w:sz w:val="20"/>
                <w:szCs w:val="20"/>
              </w:rPr>
              <w:t xml:space="preserve">Contributor onboarding, compliance mapping PDFs, procurement one-pagers.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555555"/>
                <w:sz w:val="20"/>
                <w:szCs w:val="20"/>
              </w:rPr>
              <w:t xml:space="preserve"/>
            </w:r>
            <w:r>
              <w:rPr>
                <w:rFonts w:ascii="Arial" w:cs="Arial" w:eastAsia="Arial" w:hAnsi="Arial"/>
                <w:b/>
                <w:bCs/>
                <w:color w:val="222222"/>
                <w:sz w:val="20"/>
                <w:szCs w:val="20"/>
              </w:rPr>
              <w:t xml:space="preserve">Security audit</w:t>
            </w:r>
            <w:r>
              <w:rPr>
                <w:rFonts w:ascii="Arial" w:cs="Arial" w:eastAsia="Arial" w:hAnsi="Arial"/>
                <w:color w:val="555555"/>
                <w:sz w:val="20"/>
                <w:szCs w:val="20"/>
              </w:rPr>
              <w:t xml:space="preserve"/>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555555"/>
                <w:sz w:val="20"/>
                <w:szCs w:val="20"/>
              </w:rPr>
              <w:t xml:space="preserve">$10,000</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555555"/>
                <w:sz w:val="20"/>
                <w:szCs w:val="20"/>
              </w:rPr>
              <w:t xml:space="preserve">Targeted penetration test of handshake ceremony and federation verification.</w:t>
            </w:r>
          </w:p>
        </w:tc>
      </w:tr>
    </w:tbl>
    <w:p>
      <w:pPr>
        <w:pBdr>
          <w:bottom w:val="single" w:color="B08D35" w:sz="6" w:space="1"/>
        </w:pBdr>
        <w:spacing w:after="200" w:before="200"/>
      </w:pPr>
    </w:p>
    <w:p>
      <w:pPr>
        <w:pStyle w:val="Heading1"/>
        <w:spacing w:after="200" w:before="360"/>
      </w:pPr>
      <w:r>
        <w:rPr>
          <w:rFonts w:ascii="Arial" w:cs="Arial" w:eastAsia="Arial" w:hAnsi="Arial"/>
          <w:b/>
          <w:bCs/>
          <w:color w:val="1B4F72"/>
          <w:sz w:val="32"/>
          <w:szCs w:val="32"/>
        </w:rPr>
        <w:t xml:space="preserve">12-Month Deliverables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400"/>
        <w:gridCol w:w="4760"/>
      </w:tblGrid>
      <w:tr>
        <w:tc>
          <w:tcPr>
            <w:tcW w:type="dxa" w:w="320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Deliverable</w:t>
            </w:r>
          </w:p>
        </w:tc>
        <w:tc>
          <w:tcPr>
            <w:tcW w:type="dxa" w:w="140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Timeline</w:t>
            </w:r>
          </w:p>
        </w:tc>
        <w:tc>
          <w:tcPr>
            <w:tcW w:type="dxa" w:w="476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Measurable Outcome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555555"/>
                <w:sz w:val="20"/>
                <w:szCs w:val="20"/>
              </w:rPr>
              <w:t xml:space="preserve"/>
            </w:r>
            <w:r>
              <w:rPr>
                <w:rFonts w:ascii="Arial" w:cs="Arial" w:eastAsia="Arial" w:hAnsi="Arial"/>
                <w:b/>
                <w:bCs/>
                <w:color w:val="222222"/>
                <w:sz w:val="20"/>
                <w:szCs w:val="20"/>
              </w:rPr>
              <w:t xml:space="preserve">Standalone verification library</w:t>
            </w:r>
            <w:r>
              <w:rPr>
                <w:rFonts w:ascii="Arial" w:cs="Arial" w:eastAsia="Arial" w:hAnsi="Arial"/>
                <w:color w:val="555555"/>
                <w:sz w:val="20"/>
                <w:szCs w:val="20"/>
              </w:rPr>
              <w:t xml:space="preserve"/>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555555"/>
                <w:sz w:val="20"/>
                <w:szCs w:val="20"/>
              </w:rPr>
              <w:t xml:space="preserve">Month 1–3</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555555"/>
                <w:sz w:val="20"/>
                <w:szCs w:val="20"/>
              </w:rPr>
              <w:t xml:space="preserve">JS shipped. Python/Go/Rust ports + npm publish + third-party audit.</w:t>
            </w:r>
          </w:p>
        </w:tc>
      </w:tr>
      <w:tr>
        <w:tc>
          <w:tcPr>
            <w:tcW w:type="dxa" w:w="32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555555"/>
                <w:sz w:val="20"/>
                <w:szCs w:val="20"/>
              </w:rPr>
              <w:t xml:space="preserve"/>
            </w:r>
            <w:r>
              <w:rPr>
                <w:rFonts w:ascii="Arial" w:cs="Arial" w:eastAsia="Arial" w:hAnsi="Arial"/>
                <w:b/>
                <w:bCs/>
                <w:color w:val="222222"/>
                <w:sz w:val="20"/>
                <w:szCs w:val="20"/>
              </w:rPr>
              <w:t xml:space="preserve">EP Core v1.0 specification</w:t>
            </w:r>
            <w:r>
              <w:rPr>
                <w:rFonts w:ascii="Arial" w:cs="Arial" w:eastAsia="Arial" w:hAnsi="Arial"/>
                <w:color w:val="555555"/>
                <w:sz w:val="20"/>
                <w:szCs w:val="20"/>
              </w:rPr>
              <w:t xml:space="preserve"/>
            </w:r>
          </w:p>
        </w:tc>
        <w:tc>
          <w:tcPr>
            <w:tcW w:type="dxa" w:w="14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555555"/>
                <w:sz w:val="20"/>
                <w:szCs w:val="20"/>
              </w:rPr>
              <w:t xml:space="preserve">Month 1–2</w:t>
            </w:r>
          </w:p>
        </w:tc>
        <w:tc>
          <w:tcPr>
            <w:tcW w:type="dxa" w:w="476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555555"/>
                <w:sz w:val="20"/>
                <w:szCs w:val="20"/>
              </w:rPr>
              <w:t xml:space="preserve">Published RFC-style document for standards body review.</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555555"/>
                <w:sz w:val="20"/>
                <w:szCs w:val="20"/>
              </w:rPr>
              <w:t xml:space="preserve"/>
            </w:r>
            <w:r>
              <w:rPr>
                <w:rFonts w:ascii="Arial" w:cs="Arial" w:eastAsia="Arial" w:hAnsi="Arial"/>
                <w:b/>
                <w:bCs/>
                <w:color w:val="222222"/>
                <w:sz w:val="20"/>
                <w:szCs w:val="20"/>
              </w:rPr>
              <w:t xml:space="preserve">SOC 2 Type II report</w:t>
            </w:r>
            <w:r>
              <w:rPr>
                <w:rFonts w:ascii="Arial" w:cs="Arial" w:eastAsia="Arial" w:hAnsi="Arial"/>
                <w:color w:val="555555"/>
                <w:sz w:val="20"/>
                <w:szCs w:val="20"/>
              </w:rPr>
              <w:t xml:space="preserve"/>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555555"/>
                <w:sz w:val="20"/>
                <w:szCs w:val="20"/>
              </w:rPr>
              <w:t xml:space="preserve">Month 3–6</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555555"/>
                <w:sz w:val="20"/>
                <w:szCs w:val="20"/>
              </w:rPr>
              <w:t xml:space="preserve">Audit report for enterprise procurement evaluation.</w:t>
            </w:r>
          </w:p>
        </w:tc>
      </w:tr>
      <w:tr>
        <w:tc>
          <w:tcPr>
            <w:tcW w:type="dxa" w:w="32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555555"/>
                <w:sz w:val="20"/>
                <w:szCs w:val="20"/>
              </w:rPr>
              <w:t xml:space="preserve"/>
            </w:r>
            <w:r>
              <w:rPr>
                <w:rFonts w:ascii="Arial" w:cs="Arial" w:eastAsia="Arial" w:hAnsi="Arial"/>
                <w:b/>
                <w:bCs/>
                <w:color w:val="222222"/>
                <w:sz w:val="20"/>
                <w:szCs w:val="20"/>
              </w:rPr>
              <w:t xml:space="preserve">Federation reference implementation</w:t>
            </w:r>
            <w:r>
              <w:rPr>
                <w:rFonts w:ascii="Arial" w:cs="Arial" w:eastAsia="Arial" w:hAnsi="Arial"/>
                <w:color w:val="555555"/>
                <w:sz w:val="20"/>
                <w:szCs w:val="20"/>
              </w:rPr>
              <w:t xml:space="preserve"/>
            </w:r>
          </w:p>
        </w:tc>
        <w:tc>
          <w:tcPr>
            <w:tcW w:type="dxa" w:w="14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555555"/>
                <w:sz w:val="20"/>
                <w:szCs w:val="20"/>
              </w:rPr>
              <w:t xml:space="preserve">Month 4–8</w:t>
            </w:r>
          </w:p>
        </w:tc>
        <w:tc>
          <w:tcPr>
            <w:tcW w:type="dxa" w:w="476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555555"/>
                <w:sz w:val="20"/>
                <w:szCs w:val="20"/>
              </w:rPr>
              <w:t xml:space="preserve">Second operator on AWS via CloudFormation, cross-operator verification.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555555"/>
                <w:sz w:val="20"/>
                <w:szCs w:val="20"/>
              </w:rPr>
              <w:t xml:space="preserve"/>
            </w:r>
            <w:r>
              <w:rPr>
                <w:rFonts w:ascii="Arial" w:cs="Arial" w:eastAsia="Arial" w:hAnsi="Arial"/>
                <w:b/>
                <w:bCs/>
                <w:color w:val="222222"/>
                <w:sz w:val="20"/>
                <w:szCs w:val="20"/>
              </w:rPr>
              <w:t xml:space="preserve">EP Eval benchmark</w:t>
            </w:r>
            <w:r>
              <w:rPr>
                <w:rFonts w:ascii="Arial" w:cs="Arial" w:eastAsia="Arial" w:hAnsi="Arial"/>
                <w:color w:val="555555"/>
                <w:sz w:val="20"/>
                <w:szCs w:val="20"/>
              </w:rPr>
              <w:t xml:space="preserve"/>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555555"/>
                <w:sz w:val="20"/>
                <w:szCs w:val="20"/>
              </w:rPr>
              <w:t xml:space="preserve">Month 6–9</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555555"/>
                <w:sz w:val="20"/>
                <w:szCs w:val="20"/>
              </w:rPr>
              <w:t xml:space="preserve">Open-source benchmark evaluated against 3+ model providers.</w:t>
            </w:r>
          </w:p>
        </w:tc>
      </w:tr>
      <w:tr>
        <w:tc>
          <w:tcPr>
            <w:tcW w:type="dxa" w:w="32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555555"/>
                <w:sz w:val="20"/>
                <w:szCs w:val="20"/>
              </w:rPr>
              <w:t xml:space="preserve"/>
            </w:r>
            <w:r>
              <w:rPr>
                <w:rFonts w:ascii="Arial" w:cs="Arial" w:eastAsia="Arial" w:hAnsi="Arial"/>
                <w:b/>
                <w:bCs/>
                <w:color w:val="222222"/>
                <w:sz w:val="20"/>
                <w:szCs w:val="20"/>
              </w:rPr>
              <w:t xml:space="preserve">Compliance mapping PDFs</w:t>
            </w:r>
            <w:r>
              <w:rPr>
                <w:rFonts w:ascii="Arial" w:cs="Arial" w:eastAsia="Arial" w:hAnsi="Arial"/>
                <w:color w:val="555555"/>
                <w:sz w:val="20"/>
                <w:szCs w:val="20"/>
              </w:rPr>
              <w:t xml:space="preserve"/>
            </w:r>
          </w:p>
        </w:tc>
        <w:tc>
          <w:tcPr>
            <w:tcW w:type="dxa" w:w="14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555555"/>
                <w:sz w:val="20"/>
                <w:szCs w:val="20"/>
              </w:rPr>
              <w:t xml:space="preserve">Month 2–4</w:t>
            </w:r>
          </w:p>
        </w:tc>
        <w:tc>
          <w:tcPr>
            <w:tcW w:type="dxa" w:w="476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r>
              <w:rPr>
                <w:rFonts w:ascii="Arial" w:cs="Arial" w:eastAsia="Arial" w:hAnsi="Arial"/>
                <w:color w:val="555555"/>
                <w:sz w:val="20"/>
                <w:szCs w:val="20"/>
              </w:rPr>
              <w:t xml:space="preserve">NIST AI RMF and EU AI Act formal documents.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555555"/>
                <w:sz w:val="20"/>
                <w:szCs w:val="20"/>
              </w:rPr>
              <w:t xml:space="preserve"/>
            </w:r>
            <w:r>
              <w:rPr>
                <w:rFonts w:ascii="Arial" w:cs="Arial" w:eastAsia="Arial" w:hAnsi="Arial"/>
                <w:b/>
                <w:bCs/>
                <w:color w:val="222222"/>
                <w:sz w:val="20"/>
                <w:szCs w:val="20"/>
              </w:rPr>
              <w:t xml:space="preserve">First government pilot</w:t>
            </w:r>
            <w:r>
              <w:rPr>
                <w:rFonts w:ascii="Arial" w:cs="Arial" w:eastAsia="Arial" w:hAnsi="Arial"/>
                <w:color w:val="555555"/>
                <w:sz w:val="20"/>
                <w:szCs w:val="20"/>
              </w:rPr>
              <w:t xml:space="preserve"/>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555555"/>
                <w:sz w:val="20"/>
                <w:szCs w:val="20"/>
              </w:rPr>
              <w:t xml:space="preserve">Month 9–12</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555555"/>
                <w:sz w:val="20"/>
                <w:szCs w:val="20"/>
              </w:rPr>
              <w:t xml:space="preserve">Working pilot with a US federal agency.</w:t>
            </w:r>
          </w:p>
        </w:tc>
      </w:tr>
    </w:tbl>
    <w:p>
      <w:pPr>
        <w:pBdr>
          <w:bottom w:val="single" w:color="B08D35" w:sz="6" w:space="1"/>
        </w:pBdr>
        <w:spacing w:after="200" w:before="200"/>
      </w:pPr>
    </w:p>
    <w:p>
      <w:pPr>
        <w:pStyle w:val="Heading1"/>
        <w:spacing w:after="200" w:before="360"/>
      </w:pPr>
      <w:r>
        <w:rPr>
          <w:rFonts w:ascii="Arial" w:cs="Arial" w:eastAsia="Arial" w:hAnsi="Arial"/>
          <w:b/>
          <w:bCs/>
          <w:color w:val="1B4F72"/>
          <w:sz w:val="32"/>
          <w:szCs w:val="32"/>
        </w:rPr>
        <w:t xml:space="preserve">Why AWS</w:t>
      </w:r>
    </w:p>
    <w:p>
      <w:pPr>
        <w:pStyle w:val="ListParagraph"/>
        <w:numPr>
          <w:ilvl w:val="0"/>
          <w:numId w:val="2"/>
        </w:numPr>
        <w:spacing w:after="80"/>
      </w:pPr>
      <w:r>
        <w:rPr>
          <w:rFonts w:ascii="Arial" w:cs="Arial" w:eastAsia="Arial" w:hAnsi="Arial"/>
          <w:color w:val="333333"/>
          <w:sz w:val="22"/>
          <w:szCs w:val="22"/>
        </w:rPr>
        <w:t xml:space="preserve">Infrastructure scale: EP federation requires globally distributed infrastructure. AWS provides the geographic distribution and reliability needed.</w:t>
      </w:r>
    </w:p>
    <w:p>
      <w:pPr>
        <w:pStyle w:val="ListParagraph"/>
        <w:numPr>
          <w:ilvl w:val="0"/>
          <w:numId w:val="2"/>
        </w:numPr>
        <w:spacing w:after="80"/>
      </w:pPr>
      <w:r>
        <w:rPr>
          <w:rFonts w:ascii="Arial" w:cs="Arial" w:eastAsia="Arial" w:hAnsi="Arial"/>
          <w:color w:val="333333"/>
          <w:sz w:val="22"/>
          <w:szCs w:val="22"/>
        </w:rPr>
        <w:t xml:space="preserve">AI ecosystem alignment: AWS Bedrock, SageMaker, and the broader AI/ML stack are prime integration targets for EP’s trust enforcement.</w:t>
      </w:r>
    </w:p>
    <w:p>
      <w:pPr>
        <w:pStyle w:val="ListParagraph"/>
        <w:numPr>
          <w:ilvl w:val="0"/>
          <w:numId w:val="2"/>
        </w:numPr>
        <w:spacing w:after="80"/>
      </w:pPr>
      <w:r>
        <w:rPr>
          <w:rFonts w:ascii="Arial" w:cs="Arial" w:eastAsia="Arial" w:hAnsi="Arial"/>
          <w:color w:val="333333"/>
          <w:sz w:val="22"/>
          <w:szCs w:val="22"/>
        </w:rPr>
        <w:t xml:space="preserve">Government cloud: AWS GovCloud is the primary infrastructure for US federal AI deployments. EP’s government pilot work aligns directly.</w:t>
      </w:r>
    </w:p>
    <w:p>
      <w:pPr>
        <w:pStyle w:val="ListParagraph"/>
        <w:numPr>
          <w:ilvl w:val="0"/>
          <w:numId w:val="2"/>
        </w:numPr>
        <w:spacing w:after="80"/>
      </w:pPr>
      <w:r>
        <w:rPr>
          <w:rFonts w:ascii="Arial" w:cs="Arial" w:eastAsia="Arial" w:hAnsi="Arial"/>
          <w:color w:val="333333"/>
          <w:sz w:val="22"/>
          <w:szCs w:val="22"/>
        </w:rPr>
        <w:t xml:space="preserve">Open source commitment: AWS’s track record (OpenSearch, Bottlerocket, Cedar) demonstrates alignment with EP’s Apache 2.0 licensing.</w:t>
      </w:r>
    </w:p>
    <w:p>
      <w:pPr>
        <w:pBdr>
          <w:bottom w:val="single" w:color="B08D35" w:sz="6" w:space="1"/>
        </w:pBdr>
        <w:spacing w:after="200" w:before="200"/>
      </w:pPr>
    </w:p>
    <w:p>
      <w:pPr>
        <w:pStyle w:val="Heading1"/>
        <w:spacing w:after="200" w:before="360"/>
      </w:pPr>
      <w:r>
        <w:rPr>
          <w:rFonts w:ascii="Arial" w:cs="Arial" w:eastAsia="Arial" w:hAnsi="Arial"/>
          <w:b/>
          <w:bCs/>
          <w:color w:val="1B4F72"/>
          <w:sz w:val="32"/>
          <w:szCs w:val="32"/>
        </w:rPr>
        <w:t xml:space="preserve">Open Source Commitment</w:t>
      </w:r>
    </w:p>
    <w:p>
      <w:pPr>
        <w:pStyle w:val="ListParagraph"/>
        <w:numPr>
          <w:ilvl w:val="0"/>
          <w:numId w:val="3"/>
        </w:numPr>
        <w:spacing w:after="80"/>
      </w:pPr>
      <w:r>
        <w:rPr>
          <w:rFonts w:ascii="Arial" w:cs="Arial" w:eastAsia="Arial" w:hAnsi="Arial"/>
          <w:color w:val="333333"/>
          <w:sz w:val="22"/>
          <w:szCs w:val="22"/>
        </w:rPr>
        <w:t xml:space="preserve">License: Apache 2.0 (irrevocable)</w:t>
      </w:r>
    </w:p>
    <w:p>
      <w:pPr>
        <w:pStyle w:val="ListParagraph"/>
        <w:numPr>
          <w:ilvl w:val="0"/>
          <w:numId w:val="3"/>
        </w:numPr>
        <w:spacing w:after="80"/>
      </w:pPr>
      <w:r>
        <w:rPr>
          <w:rFonts w:ascii="Arial" w:cs="Arial" w:eastAsia="Arial" w:hAnsi="Arial"/>
          <w:color w:val="333333"/>
          <w:sz w:val="22"/>
          <w:szCs w:val="22"/>
        </w:rPr>
        <w:t xml:space="preserve">All deliverables published on GitHub under the same license</w:t>
      </w:r>
    </w:p>
    <w:p>
      <w:pPr>
        <w:pStyle w:val="ListParagraph"/>
        <w:numPr>
          <w:ilvl w:val="0"/>
          <w:numId w:val="3"/>
        </w:numPr>
        <w:spacing w:after="80"/>
      </w:pPr>
      <w:r>
        <w:rPr>
          <w:rFonts w:ascii="Arial" w:cs="Arial" w:eastAsia="Arial" w:hAnsi="Arial"/>
          <w:color w:val="333333"/>
          <w:sz w:val="22"/>
          <w:szCs w:val="22"/>
        </w:rPr>
        <w:t xml:space="preserve">DCO enforcement on every contribution</w:t>
      </w:r>
    </w:p>
    <w:p>
      <w:pPr>
        <w:pStyle w:val="ListParagraph"/>
        <w:numPr>
          <w:ilvl w:val="0"/>
          <w:numId w:val="3"/>
        </w:numPr>
        <w:spacing w:after="80"/>
      </w:pPr>
      <w:r>
        <w:rPr>
          <w:rFonts w:ascii="Arial" w:cs="Arial" w:eastAsia="Arial" w:hAnsi="Arial"/>
          <w:color w:val="333333"/>
          <w:sz w:val="22"/>
          <w:szCs w:val="22"/>
        </w:rPr>
        <w:t xml:space="preserve">SBOM + provenance attestation on every release</w:t>
      </w:r>
    </w:p>
    <w:p>
      <w:pPr>
        <w:pStyle w:val="ListParagraph"/>
        <w:numPr>
          <w:ilvl w:val="0"/>
          <w:numId w:val="3"/>
        </w:numPr>
        <w:spacing w:after="80"/>
      </w:pPr>
      <w:r>
        <w:rPr>
          <w:rFonts w:ascii="Arial" w:cs="Arial" w:eastAsia="Arial" w:hAnsi="Arial"/>
          <w:color w:val="333333"/>
          <w:sz w:val="22"/>
          <w:szCs w:val="22"/>
        </w:rPr>
        <w:t xml:space="preserve">No open-core bait-and-switch: the protocol is fully open</w:t>
      </w:r>
    </w:p>
    <w:p>
      <w:pPr>
        <w:pBdr>
          <w:bottom w:val="single" w:color="B08D35" w:sz="6" w:space="1"/>
        </w:pBdr>
        <w:spacing w:after="200" w:before="200"/>
      </w:pPr>
    </w:p>
    <w:p>
      <w:pPr>
        <w:pStyle w:val="Heading1"/>
        <w:spacing w:after="200" w:before="360"/>
      </w:pPr>
      <w:r>
        <w:rPr>
          <w:rFonts w:ascii="Arial" w:cs="Arial" w:eastAsia="Arial" w:hAnsi="Arial"/>
          <w:b/>
          <w:bCs/>
          <w:color w:val="1B4F72"/>
          <w:sz w:val="32"/>
          <w:szCs w:val="32"/>
        </w:rPr>
        <w:t xml:space="preserve">Contact</w:t>
      </w:r>
    </w:p>
    <w:p>
      <w:pPr>
        <w:spacing w:after="80"/>
      </w:pPr>
      <w:r>
        <w:rPr>
          <w:rFonts w:ascii="Arial" w:cs="Arial" w:eastAsia="Arial" w:hAnsi="Arial"/>
          <w:b/>
          <w:bCs/>
          <w:color w:val="222222"/>
          <w:sz w:val="24"/>
          <w:szCs w:val="24"/>
        </w:rPr>
        <w:t xml:space="preserve">Iman Schrock</w:t>
      </w:r>
    </w:p>
    <w:p>
      <w:pPr>
        <w:spacing w:after="160"/>
      </w:pPr>
      <w:r>
        <w:rPr>
          <w:rFonts w:ascii="Arial" w:cs="Arial" w:eastAsia="Arial" w:hAnsi="Arial"/>
          <w:color w:val="333333"/>
          <w:sz w:val="22"/>
          <w:szCs w:val="22"/>
        </w:rPr>
        <w:t xml:space="preserve">Protocol Author &amp; CEO</w:t>
      </w:r>
    </w:p>
    <w:p>
      <w:pPr>
        <w:spacing w:after="160"/>
      </w:pPr>
      <w:r>
        <w:rPr>
          <w:rFonts w:ascii="Arial" w:cs="Arial" w:eastAsia="Arial" w:hAnsi="Arial"/>
          <w:color w:val="333333"/>
          <w:sz w:val="22"/>
          <w:szCs w:val="22"/>
        </w:rPr>
        <w:t xml:space="preserve">iman@emiliaprotocol.ai</w:t>
      </w:r>
    </w:p>
    <w:p>
      <w:pPr>
        <w:spacing w:after="160"/>
      </w:pPr>
      <w:r>
        <w:rPr>
          <w:rFonts w:ascii="Arial" w:cs="Arial" w:eastAsia="Arial" w:hAnsi="Arial"/>
          <w:color w:val="333333"/>
          <w:sz w:val="22"/>
          <w:szCs w:val="22"/>
        </w:rPr>
        <w:t xml:space="preserve">github.com/emiliaprotocol/emilia-protocol</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55555"/>
        <w:sz w:val="16"/>
        <w:szCs w:val="16"/>
      </w:rPr>
      <w:t xml:space="preserve">Page </w:t>
    </w:r>
    <w:r>
      <w:rPr>
        <w:rFonts w:ascii="Arial" w:cs="Arial" w:eastAsia="Arial" w:hAnsi="Arial"/>
        <w:color w:val="555555"/>
        <w:sz w:val="16"/>
        <w:szCs w:val="16"/>
      </w:rPr>
      <w:fldChar w:fldCharType="begin"/>
      <w:instrText xml:space="preserve">PAGE</w:instrText>
      <w:fldChar w:fldCharType="separate"/>
      <w:fldChar w:fldCharType="end"/>
    </w:r>
    <w:r>
      <w:rPr>
        <w:rFonts w:ascii="Arial" w:cs="Arial" w:eastAsia="Arial" w:hAnsi="Arial"/>
        <w:color w:val="555555"/>
        <w:sz w:val="16"/>
        <w:szCs w:val="16"/>
      </w:rPr>
      <w:t xml:space="preserve">  |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b/>
        <w:bCs/>
        <w:color w:val="B08D35"/>
        <w:sz w:val="16"/>
        <w:szCs w:val="16"/>
      </w:rPr>
      <w:t xml:space="preserve">EMILIA PROTOCOL</w:t>
    </w:r>
    <w:r>
      <w:rPr>
        <w:rFonts w:ascii="Arial" w:cs="Arial" w:eastAsia="Arial" w:hAnsi="Arial"/>
        <w:color w:val="555555"/>
        <w:sz w:val="16"/>
        <w:szCs w:val="16"/>
      </w:rPr>
      <w:t xml:space="preserve">  |  AWS Open Source Grant Application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4F72"/>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1B4F72"/>
      <w:sz w:val="26"/>
      <w:szCs w:val="26"/>
    </w:rPr>
  </w:style>
  <w:style w:type="paragraph" w:styleId="Heading3">
    <w:name w:val="Heading 3"/>
    <w:basedOn w:val="Normal"/>
    <w:next w:val="Normal"/>
    <w:qFormat/>
    <w:pPr>
      <w:spacing w:after="120" w:before="200"/>
      <w:outlineLvl w:val="2"/>
    </w:pPr>
    <w:rPr>
      <w:rFonts w:ascii="Arial" w:cs="Arial" w:eastAsia="Arial" w:hAnsi="Arial"/>
      <w:b/>
      <w:bCs/>
      <w:color w:val="1B4F7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2026-04-09T00:11:35.316Z</dcterms:created>
  <dcterms:modified xsi:type="dcterms:W3CDTF">2026-04-09T00:11:35.317Z</dcterms:modified>
</cp:coreProperties>
</file>

<file path=docProps/custom.xml><?xml version="1.0" encoding="utf-8"?>
<Properties xmlns="http://schemas.openxmlformats.org/officeDocument/2006/custom-properties" xmlns:vt="http://schemas.openxmlformats.org/officeDocument/2006/docPropsVTypes"/>
</file>