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EP for DTC Websites</w:t>
      </w:r>
    </w:p>
    <w:p>
      <w:pPr>
        <w:spacing w:line="269" w:lineRule="auto" w:after="80"/>
        <w:jc w:val="center"/>
      </w:pPr>
      <w:r>
        <w:rPr>
          <w:i/>
          <w:color w:val="5A5A5A"/>
          <w:sz w:val="23"/>
        </w:rPr>
        <w:t>Shopify integration spec for machine-readable merchant trust</w:t>
      </w:r>
    </w:p>
    <w:p>
      <w:pPr>
        <w:spacing w:after="320" w:line="269" w:lineRule="auto"/>
        <w:jc w:val="center"/>
      </w:pPr>
      <w:r>
        <w:rPr>
          <w:color w:val="5A5A5A"/>
          <w:sz w:val="20"/>
        </w:rPr>
        <w:t>Purpose: turn a DTC store into an agent-readable, policy-evaluable merchant</w:t>
      </w:r>
    </w:p>
    <w:p>
      <w:pPr>
        <w:spacing w:after="240" w:line="269" w:lineRule="auto"/>
        <w:ind w:left="115" w:right="115"/>
        <w:shd w:fill="EAF2F8"/>
        <w:pBdr>
          <w:top w:val="single" w:sz="6" w:space="8" w:color="9CC2E5"/>
          <w:left w:val="single" w:sz="6" w:space="8" w:color="9CC2E5"/>
          <w:bottom w:val="single" w:sz="6" w:space="8" w:color="9CC2E5"/>
          <w:right w:val="single" w:sz="6" w:space="8" w:color="9CC2E5"/>
        </w:pBdr>
      </w:pPr>
      <w:r>
        <w:rPr>
          <w:b/>
          <w:color w:val="1F4E79"/>
        </w:rPr>
        <w:t xml:space="preserve">Summary: </w:t>
      </w:r>
      <w:r>
        <w:t>Use Shopify as the event source, EP as the trust engine, and the storefront as both the human and agent presentation layer. The goal is not a homepage badge; the goal is to make the merchant machine-trustable before AI agents become a meaningful shopping channel.</w:t>
      </w:r>
    </w:p>
    <w:p>
      <w:pPr>
        <w:pStyle w:val="Heading1"/>
        <w:keepNext/>
      </w:pPr>
      <w:r>
        <w:t>1. What EP should do for a DTC merchant</w:t>
      </w:r>
    </w:p>
    <w:p>
      <w:pPr>
        <w:spacing w:after="120" w:line="269" w:lineRule="auto"/>
      </w:pPr>
      <w:r>
        <w:t>For a DTC brand, EP should do three jobs at once: convert operating history into a machine-readable trust profile, let AI agents evaluate the merchant before checkout, and let the merchant use the same trust layer internally for carriers, 3PLs, and service partners.</w:t>
      </w:r>
    </w:p>
    <w:p>
      <w:pPr>
        <w:spacing w:after="120" w:line="269" w:lineRule="auto"/>
      </w:pPr>
      <w:r>
        <w:t>The cleanest implementation on Shopify is an app that subscribes to order, fulfillment, refund, and return webhooks, normalizes those events into a transaction ledger, and emits canonical EP receipts from that ledger.</w:t>
      </w:r>
    </w:p>
    <w:p>
      <w:pPr>
        <w:pStyle w:val="Heading2"/>
        <w:keepNext/>
      </w:pPr>
      <w:r>
        <w:t>Recommended product shape</w:t>
      </w:r>
    </w:p>
    <w:p>
      <w:pPr>
        <w:pStyle w:val="ListBullet"/>
        <w:spacing w:after="40"/>
      </w:pPr>
      <w:r>
        <w:t>One Shopify app for ingestion and mapping.</w:t>
      </w:r>
    </w:p>
    <w:p>
      <w:pPr>
        <w:pStyle w:val="ListBullet"/>
        <w:spacing w:after="40"/>
      </w:pPr>
      <w:r>
        <w:t>One internal transaction ledger that stores the order lifecycle in normalized form.</w:t>
      </w:r>
    </w:p>
    <w:p>
      <w:pPr>
        <w:pStyle w:val="ListBullet"/>
        <w:spacing w:after="40"/>
      </w:pPr>
      <w:r>
        <w:t>Three public EP surfaces: trust profile, trust evaluation, and compatibility score for legacy sorting.</w:t>
      </w:r>
    </w:p>
    <w:p>
      <w:pPr>
        <w:pStyle w:val="Heading2"/>
        <w:keepNext/>
      </w:pPr>
      <w:r>
        <w:t>Recommended public surfaces</w:t>
      </w:r>
    </w:p>
    <w:p>
      <w:pPr>
        <w:pStyle w:val="ListBullet"/>
      </w:pPr>
      <w:r>
        <w:t>GET /api/trust/profile/:entityId — canonical trust object</w:t>
      </w:r>
    </w:p>
    <w:p>
      <w:pPr>
        <w:pStyle w:val="ListBullet"/>
      </w:pPr>
      <w:r>
        <w:t>POST /api/trust/evaluate — agent preflight decision surface</w:t>
      </w:r>
    </w:p>
    <w:p>
      <w:pPr>
        <w:pStyle w:val="ListBullet"/>
      </w:pPr>
      <w:r>
        <w:t>GET /api/score/:entityId — compatibility score only</w:t>
      </w:r>
    </w:p>
    <w:p>
      <w:pPr>
        <w:pStyle w:val="Heading2"/>
        <w:keepNext/>
      </w:pPr>
      <w:r>
        <w:t>Reference architecture</w:t>
      </w:r>
    </w:p>
    <w:p>
      <w:pPr>
        <w:spacing w:before="80" w:after="160" w:line="269" w:lineRule="auto"/>
        <w:ind w:left="360" w:right="216"/>
        <w:shd w:fill="F6F8FA"/>
        <w:pBdr>
          <w:top w:val="single" w:sz="4" w:space="6" w:color="D0D7DE"/>
          <w:left w:val="single" w:sz="4" w:space="6" w:color="D0D7DE"/>
          <w:bottom w:val="single" w:sz="4" w:space="6" w:color="D0D7DE"/>
          <w:right w:val="single" w:sz="4" w:space="6" w:color="D0D7DE"/>
        </w:pBdr>
      </w:pPr>
      <w:r>
        <w:rPr>
          <w:rFonts w:ascii="Courier New" w:hAnsi="Courier New" w:eastAsia="Courier New"/>
          <w:sz w:val="17"/>
        </w:rPr>
        <w:t>Shopify Store</w:t>
        <w:br/>
        <w:t xml:space="preserve">   ↓</w:t>
        <w:br/>
        <w:t>Shopify Webhooks</w:t>
        <w:br/>
        <w:t xml:space="preserve">   ↓</w:t>
        <w:br/>
        <w:t>EP Shopify App</w:t>
        <w:br/>
        <w:t xml:space="preserve">   ├─ Verify webhook</w:t>
        <w:br/>
        <w:t xml:space="preserve">   ├─ Normalize event</w:t>
        <w:br/>
        <w:t xml:space="preserve">   ├─ Upsert transaction ledger row</w:t>
        <w:br/>
        <w:t xml:space="preserve">   ├─ Build EP claims and evidence</w:t>
        <w:br/>
        <w:t xml:space="preserve">   └─ Submit canonical EP receipt</w:t>
        <w:br/>
        <w:t xml:space="preserve">           ↓</w:t>
        <w:br/>
        <w:t xml:space="preserve">        EP Core</w:t>
        <w:br/>
        <w:t xml:space="preserve">           ├─ createReceipt()</w:t>
        <w:br/>
        <w:t xml:space="preserve">           ├─ scoring and trust profile</w:t>
        <w:br/>
        <w:t xml:space="preserve">           ├─ policy evaluation</w:t>
        <w:br/>
        <w:t xml:space="preserve">           └─ public trust endpoints</w:t>
      </w:r>
    </w:p>
    <w:p>
      <w:pPr>
        <w:pStyle w:val="Heading1"/>
        <w:keepNext/>
      </w:pPr>
      <w:r>
        <w:t>2. Shopify webhook mapping</w:t>
      </w:r>
    </w:p>
    <w:p>
      <w:pPr>
        <w:spacing w:after="160" w:line="269" w:lineRule="auto"/>
      </w:pPr>
      <w:r>
        <w:t>The first implementation should map operational events into trust-relevant milestones. Use the app ledger as the source of truth and generate EP receipts only when a lifecycle event materially changes merchant trust.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4E79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8"/>
              </w:rPr>
              <w:t>Shopify topic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4E79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F4E79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8"/>
              </w:rPr>
              <w:t>EP action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sz w:val="18"/>
              </w:rPr>
              <w:t>orders/create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sz w:val="18"/>
              </w:rPr>
              <w:t>Order exists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sz w:val="18"/>
              </w:rPr>
              <w:t>Create transaction shell only; no trust impact yet.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sz w:val="18"/>
              </w:rPr>
              <w:t>orders/paid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sz w:val="18"/>
              </w:rPr>
              <w:t>Order paid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sz w:val="18"/>
              </w:rPr>
              <w:t>Mark payment confirmed and create initial purchase claims.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sz w:val="18"/>
              </w:rPr>
              <w:t>order_transactions/create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sz w:val="18"/>
              </w:rPr>
              <w:t>Payment succeeded or failed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sz w:val="18"/>
              </w:rPr>
              <w:t>Enrich payment evidence; fallback to orders/paid if needed.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sz w:val="18"/>
              </w:rPr>
              <w:t>fulfillments/create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sz w:val="18"/>
              </w:rPr>
              <w:t>Fulfillment created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sz w:val="18"/>
              </w:rPr>
              <w:t>Mark fulfillment started.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sz w:val="18"/>
              </w:rPr>
              <w:t>fulfillments/update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sz w:val="18"/>
              </w:rPr>
              <w:t>Shipment status changed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sz w:val="18"/>
              </w:rPr>
              <w:t>Update tracking, delivery evidence, and exceptions.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sz w:val="18"/>
              </w:rPr>
              <w:t>orders/fulfilled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sz w:val="18"/>
              </w:rPr>
              <w:t>Order fulfilled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sz w:val="18"/>
              </w:rPr>
              <w:t>Strong fulfillment milestone.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sz w:val="18"/>
              </w:rPr>
              <w:t>carrier sync / delivery event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sz w:val="18"/>
              </w:rPr>
              <w:t>Delivered or failed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sz w:val="18"/>
              </w:rPr>
              <w:t>Set final delivery truth for the order.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sz w:val="18"/>
              </w:rPr>
              <w:t>refunds/create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sz w:val="18"/>
              </w:rPr>
              <w:t>Refund created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sz w:val="18"/>
              </w:rPr>
              <w:t>Update refund or return outcome.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sz w:val="18"/>
              </w:rPr>
              <w:t>returns/request / process / close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sz w:val="18"/>
              </w:rPr>
              <w:t>Return lifecycle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sz w:val="18"/>
              </w:rPr>
              <w:t>Open, process, and close return state for EP receipts.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sz w:val="18"/>
              </w:rPr>
              <w:t>orders/cancelled / updated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sz w:val="18"/>
              </w:rPr>
              <w:t>Cancellation or reconciliation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sz w:val="18"/>
              </w:rPr>
              <w:t>Backfill or repair state transitions where needed.</w:t>
            </w:r>
          </w:p>
        </w:tc>
      </w:tr>
    </w:tbl>
    <w:p>
      <w:pPr>
        <w:pStyle w:val="Heading1"/>
        <w:keepNext/>
      </w:pPr>
      <w:r>
        <w:t>3. Internal data model for the app</w:t>
      </w:r>
    </w:p>
    <w:p>
      <w:pPr>
        <w:spacing w:after="160" w:line="269" w:lineRule="auto"/>
      </w:pPr>
      <w:r>
        <w:t>Create a private app table such as merchant_transactions. This is the merchant event ledger. EP receipts should be generated from this ledger, not directly from raw webhook payloads.</w:t>
      </w:r>
    </w:p>
    <w:p>
      <w:pPr>
        <w:spacing w:before="80" w:after="160" w:line="269" w:lineRule="auto"/>
        <w:ind w:left="360" w:right="216"/>
        <w:shd w:fill="F6F8FA"/>
        <w:pBdr>
          <w:top w:val="single" w:sz="4" w:space="6" w:color="D0D7DE"/>
          <w:left w:val="single" w:sz="4" w:space="6" w:color="D0D7DE"/>
          <w:bottom w:val="single" w:sz="4" w:space="6" w:color="D0D7DE"/>
          <w:right w:val="single" w:sz="4" w:space="6" w:color="D0D7DE"/>
        </w:pBdr>
      </w:pPr>
      <w:r>
        <w:rPr>
          <w:rFonts w:ascii="Courier New" w:hAnsi="Courier New" w:eastAsia="Courier New"/>
          <w:sz w:val="17"/>
        </w:rPr>
        <w:t>{</w:t>
        <w:br/>
        <w:t xml:space="preserve">  "shop": "revetoile.myshopify.com",</w:t>
        <w:br/>
        <w:t xml:space="preserve">  "order_id": "gid://shopify/Order/123",</w:t>
        <w:br/>
        <w:t xml:space="preserve">  "transaction_ref": "shopify:order:123",</w:t>
        <w:br/>
        <w:t xml:space="preserve">  "financial_status": "paid",</w:t>
        <w:br/>
        <w:t xml:space="preserve">  "fulfillment_status": "fulfilled",</w:t>
        <w:br/>
        <w:t xml:space="preserve">  "delivery_status": "delivered",</w:t>
        <w:br/>
        <w:t xml:space="preserve">  "return_status": "none",</w:t>
        <w:br/>
        <w:t xml:space="preserve">  "refund_status": "none",</w:t>
        <w:br/>
        <w:t xml:space="preserve">  "quoted_total_cents": 19900,</w:t>
        <w:br/>
        <w:t xml:space="preserve">  "charged_total_cents": 19900,</w:t>
        <w:br/>
        <w:t xml:space="preserve">  "promised_delivery_by": "2026-03-24T00:00:00Z",</w:t>
        <w:br/>
        <w:t xml:space="preserve">  "actual_delivered_at": "2026-03-23T14:11:00Z",</w:t>
        <w:br/>
        <w:t xml:space="preserve">  "carrier": "UPS",</w:t>
        <w:br/>
        <w:t xml:space="preserve">  "tracking_number": "1Z..."</w:t>
        <w:br/>
        <w:t>}</w:t>
      </w:r>
    </w:p>
    <w:p>
      <w:pPr>
        <w:pStyle w:val="Heading1"/>
        <w:keepNext/>
      </w:pPr>
      <w:r>
        <w:t>4. EP receipt mapping</w:t>
      </w:r>
    </w:p>
    <w:p>
      <w:pPr>
        <w:spacing w:after="120" w:line="269" w:lineRule="auto"/>
      </w:pPr>
      <w:r>
        <w:t>Use one purchase receipt per order lifecycle phase that materially changes trust. Start claims-first. Do not ask the merchant to hand-enter delivery_accuracy 95 or product_accuracy 88 when that can be derived from operational events.</w:t>
      </w:r>
    </w:p>
    <w:p>
      <w:pPr>
        <w:pStyle w:val="Heading2"/>
        <w:keepNext/>
      </w:pPr>
      <w:r>
        <w:t>4.1 Payment-confirmed purchase</w:t>
      </w:r>
    </w:p>
    <w:p>
      <w:pPr>
        <w:spacing w:after="80" w:line="269" w:lineRule="auto"/>
      </w:pPr>
      <w:r>
        <w:t>Trigger from orders/paid or a successful payment transaction event. This creates the initial purchase truth and is often the first receipt for the order lifecycle.</w:t>
      </w:r>
    </w:p>
    <w:p>
      <w:pPr>
        <w:spacing w:before="80" w:after="160" w:line="269" w:lineRule="auto"/>
        <w:ind w:left="360" w:right="216"/>
        <w:shd w:fill="F6F8FA"/>
        <w:pBdr>
          <w:top w:val="single" w:sz="4" w:space="6" w:color="D0D7DE"/>
          <w:left w:val="single" w:sz="4" w:space="6" w:color="D0D7DE"/>
          <w:bottom w:val="single" w:sz="4" w:space="6" w:color="D0D7DE"/>
          <w:right w:val="single" w:sz="4" w:space="6" w:color="D0D7DE"/>
        </w:pBdr>
      </w:pPr>
      <w:r>
        <w:rPr>
          <w:rFonts w:ascii="Courier New" w:hAnsi="Courier New" w:eastAsia="Courier New"/>
          <w:sz w:val="17"/>
        </w:rPr>
        <w:t>{</w:t>
        <w:br/>
        <w:t xml:space="preserve">  "entity_id": "revetoile.com",</w:t>
        <w:br/>
        <w:t xml:space="preserve">  "transaction_ref": "shopify:order:123",</w:t>
        <w:br/>
        <w:t xml:space="preserve">  "transaction_type": "purchase",</w:t>
        <w:br/>
        <w:t xml:space="preserve">  "claims": {</w:t>
        <w:br/>
        <w:t xml:space="preserve">    "price_honored": {"quoted_cents": 19900, "charged_cents": 19900}</w:t>
        <w:br/>
        <w:t xml:space="preserve">  },</w:t>
        <w:br/>
        <w:t xml:space="preserve">  "evidence": {</w:t>
        <w:br/>
        <w:t xml:space="preserve">    "shopify_order_id": "gid://shopify/Order/123",</w:t>
        <w:br/>
        <w:t xml:space="preserve">    "payment_status": "paid"</w:t>
        <w:br/>
        <w:t xml:space="preserve">  }</w:t>
        <w:br/>
        <w:t>}</w:t>
      </w:r>
    </w:p>
    <w:p>
      <w:pPr>
        <w:pStyle w:val="Heading2"/>
        <w:keepNext/>
      </w:pPr>
      <w:r>
        <w:t>4.2 Fulfillment and delivery outcome</w:t>
      </w:r>
    </w:p>
    <w:p>
      <w:pPr>
        <w:spacing w:after="80" w:line="269" w:lineRule="auto"/>
      </w:pPr>
      <w:r>
        <w:t>Trigger from orders/fulfilled, fulfillment updates, or carrier-delivery synchronization. This is usually the strongest operational trust signal for a DTC merchant.</w:t>
      </w:r>
    </w:p>
    <w:p>
      <w:pPr>
        <w:spacing w:before="80" w:after="160" w:line="269" w:lineRule="auto"/>
        <w:ind w:left="360" w:right="216"/>
        <w:shd w:fill="F6F8FA"/>
        <w:pBdr>
          <w:top w:val="single" w:sz="4" w:space="6" w:color="D0D7DE"/>
          <w:left w:val="single" w:sz="4" w:space="6" w:color="D0D7DE"/>
          <w:bottom w:val="single" w:sz="4" w:space="6" w:color="D0D7DE"/>
          <w:right w:val="single" w:sz="4" w:space="6" w:color="D0D7DE"/>
        </w:pBdr>
      </w:pPr>
      <w:r>
        <w:rPr>
          <w:rFonts w:ascii="Courier New" w:hAnsi="Courier New" w:eastAsia="Courier New"/>
          <w:sz w:val="17"/>
        </w:rPr>
        <w:t>{</w:t>
        <w:br/>
        <w:t xml:space="preserve">  "entity_id": "revetoile.com",</w:t>
        <w:br/>
        <w:t xml:space="preserve">  "transaction_ref": "shopify:order:123",</w:t>
        <w:br/>
        <w:t xml:space="preserve">  "transaction_type": "purchase",</w:t>
        <w:br/>
        <w:t xml:space="preserve">  "claims": {</w:t>
        <w:br/>
        <w:t xml:space="preserve">    "delivered": true,</w:t>
        <w:br/>
        <w:t xml:space="preserve">    "on_time": {</w:t>
        <w:br/>
        <w:t xml:space="preserve">      "promised": "2026-03-24T00:00:00Z",</w:t>
        <w:br/>
        <w:t xml:space="preserve">      "actual": "2026-03-23T14:11:00Z"</w:t>
        <w:br/>
        <w:t xml:space="preserve">    }</w:t>
        <w:br/>
        <w:t xml:space="preserve">  },</w:t>
        <w:br/>
        <w:t xml:space="preserve">  "evidence": {</w:t>
        <w:br/>
        <w:t xml:space="preserve">    "carrier": "UPS",</w:t>
        <w:br/>
        <w:t xml:space="preserve">    "tracking_id": "1Z..."</w:t>
        <w:br/>
        <w:t xml:space="preserve">  }</w:t>
        <w:br/>
        <w:t>}</w:t>
      </w:r>
    </w:p>
    <w:p>
      <w:pPr>
        <w:pStyle w:val="Heading2"/>
        <w:keepNext/>
      </w:pPr>
      <w:r>
        <w:t>4.3 Product-as-described or complaint outcome</w:t>
      </w:r>
    </w:p>
    <w:p>
      <w:pPr>
        <w:spacing w:after="80" w:line="269" w:lineRule="auto"/>
      </w:pPr>
      <w:r>
        <w:t>Only submit this when there is a real signal source. A complaint workflow or a clean no-issue window can work. Do not turn optimism into evidence.</w:t>
      </w:r>
    </w:p>
    <w:p>
      <w:pPr>
        <w:spacing w:before="80" w:after="160" w:line="269" w:lineRule="auto"/>
        <w:ind w:left="360" w:right="216"/>
        <w:shd w:fill="F6F8FA"/>
        <w:pBdr>
          <w:top w:val="single" w:sz="4" w:space="6" w:color="D0D7DE"/>
          <w:left w:val="single" w:sz="4" w:space="6" w:color="D0D7DE"/>
          <w:bottom w:val="single" w:sz="4" w:space="6" w:color="D0D7DE"/>
          <w:right w:val="single" w:sz="4" w:space="6" w:color="D0D7DE"/>
        </w:pBdr>
      </w:pPr>
      <w:r>
        <w:rPr>
          <w:rFonts w:ascii="Courier New" w:hAnsi="Courier New" w:eastAsia="Courier New"/>
          <w:sz w:val="17"/>
        </w:rPr>
        <w:t>{</w:t>
        <w:br/>
        <w:t xml:space="preserve">  "entity_id": "revetoile.com",</w:t>
        <w:br/>
        <w:t xml:space="preserve">  "transaction_ref": "shopify:order:123",</w:t>
        <w:br/>
        <w:t xml:space="preserve">  "transaction_type": "purchase",</w:t>
        <w:br/>
        <w:t xml:space="preserve">  "claims": {"as_described": true},</w:t>
        <w:br/>
        <w:t xml:space="preserve">  "evidence": {"source": "no_issue_window_14d"}</w:t>
        <w:br/>
        <w:t>}</w:t>
      </w:r>
    </w:p>
    <w:p>
      <w:pPr>
        <w:pStyle w:val="Heading2"/>
        <w:keepNext/>
      </w:pPr>
      <w:r>
        <w:t>4.4 Return and refund outcome</w:t>
      </w:r>
    </w:p>
    <w:p>
      <w:pPr>
        <w:spacing w:after="80" w:line="269" w:lineRule="auto"/>
      </w:pPr>
      <w:r>
        <w:t>Trigger from refunds/create or returns lifecycle topics. This is essential for any premium or high-consideration DTC category where returns reliability materially affects agent decisions.</w:t>
      </w:r>
    </w:p>
    <w:p>
      <w:pPr>
        <w:spacing w:before="80" w:after="160" w:line="269" w:lineRule="auto"/>
        <w:ind w:left="360" w:right="216"/>
        <w:shd w:fill="F6F8FA"/>
        <w:pBdr>
          <w:top w:val="single" w:sz="4" w:space="6" w:color="D0D7DE"/>
          <w:left w:val="single" w:sz="4" w:space="6" w:color="D0D7DE"/>
          <w:bottom w:val="single" w:sz="4" w:space="6" w:color="D0D7DE"/>
          <w:right w:val="single" w:sz="4" w:space="6" w:color="D0D7DE"/>
        </w:pBdr>
      </w:pPr>
      <w:r>
        <w:rPr>
          <w:rFonts w:ascii="Courier New" w:hAnsi="Courier New" w:eastAsia="Courier New"/>
          <w:sz w:val="17"/>
        </w:rPr>
        <w:t>{</w:t>
        <w:br/>
        <w:t xml:space="preserve">  "entity_id": "revetoile.com",</w:t>
        <w:br/>
        <w:t xml:space="preserve">  "transaction_ref": "shopify:order:123",</w:t>
        <w:br/>
        <w:t xml:space="preserve">  "transaction_type": "return",</w:t>
        <w:br/>
        <w:t xml:space="preserve">  "claims": {"return_accepted": true},</w:t>
        <w:br/>
        <w:t xml:space="preserve">  "evidence": {"refund_cents": 19900, "return_status": "closed"}</w:t>
        <w:br/>
        <w:t>}</w:t>
      </w:r>
    </w:p>
    <w:p>
      <w:pPr>
        <w:pStyle w:val="Heading1"/>
        <w:keepNext/>
      </w:pPr>
      <w:r>
        <w:t>5. Behavioral signals on a DTC website</w:t>
      </w:r>
    </w:p>
    <w:p>
      <w:pPr>
        <w:spacing w:after="120" w:line="269" w:lineRule="auto"/>
      </w:pPr>
      <w:r>
        <w:t>Behavior is harder on a merchant site because the merchant usually cannot observe that an external shopping agent switched to another merchant. For DTC, use a two-tier approach:</w:t>
      </w:r>
    </w:p>
    <w:p>
      <w:pPr>
        <w:pStyle w:val="ListBullet"/>
      </w:pPr>
      <w:r>
        <w:t>Tier A — merchant-observable behavior: checkout completed, order paid, refund or dispute status, and repeat purchase windows.</w:t>
      </w:r>
    </w:p>
    <w:p>
      <w:pPr>
        <w:pStyle w:val="ListBullet"/>
      </w:pPr>
      <w:r>
        <w:t>Tier B — agent or network behavior: switch-away events, comparative routing, or marketplace-level replacement behavior. Only use this when you control the agent or routing layer.</w:t>
      </w:r>
    </w:p>
    <w:p>
      <w:pPr>
        <w:pStyle w:val="Heading1"/>
        <w:keepNext/>
      </w:pPr>
      <w:r>
        <w:t>6. Public merchant endpoints</w:t>
      </w:r>
    </w:p>
    <w:p>
      <w:pPr>
        <w:spacing w:after="120" w:line="269" w:lineRule="auto"/>
      </w:pPr>
      <w:r>
        <w:t>A DTC merchant should expose three trust surfaces: a canonical trust profile, a trust-evaluation endpoint for agents, and a compatibility score endpoint for legacy ranking or UI shorthand.</w:t>
      </w:r>
    </w:p>
    <w:p>
      <w:pPr>
        <w:pStyle w:val="Heading2"/>
        <w:keepNext/>
      </w:pPr>
      <w:r>
        <w:t>6.1 Canonical trust profile</w:t>
      </w:r>
    </w:p>
    <w:p>
      <w:pPr>
        <w:spacing w:before="80" w:after="160" w:line="269" w:lineRule="auto"/>
        <w:ind w:left="360" w:right="216"/>
        <w:shd w:fill="F6F8FA"/>
        <w:pBdr>
          <w:top w:val="single" w:sz="4" w:space="6" w:color="D0D7DE"/>
          <w:left w:val="single" w:sz="4" w:space="6" w:color="D0D7DE"/>
          <w:bottom w:val="single" w:sz="4" w:space="6" w:color="D0D7DE"/>
          <w:right w:val="single" w:sz="4" w:space="6" w:color="D0D7DE"/>
        </w:pBdr>
      </w:pPr>
      <w:r>
        <w:rPr>
          <w:rFonts w:ascii="Courier New" w:hAnsi="Courier New" w:eastAsia="Courier New"/>
          <w:sz w:val="17"/>
        </w:rPr>
        <w:t>{</w:t>
        <w:br/>
        <w:t xml:space="preserve">  "entity_id": "revetoile.com",</w:t>
        <w:br/>
        <w:t xml:space="preserve">  "trust_profile": {</w:t>
        <w:br/>
        <w:t xml:space="preserve">    "behavioral": {"completion_rate": 93.8, "dispute_rate": 0.4},</w:t>
        <w:br/>
        <w:t xml:space="preserve">    "signals": {"delivery_accuracy": 91.6, "price_integrity": 99.8, "return_processing": 87.2},</w:t>
        <w:br/>
        <w:t xml:space="preserve">    "consistency": 94.1</w:t>
        <w:br/>
        <w:t xml:space="preserve">  },</w:t>
        <w:br/>
        <w:t xml:space="preserve">  "current_confidence": "confident",</w:t>
        <w:br/>
        <w:t xml:space="preserve">  "historical_establishment": true,</w:t>
        <w:br/>
        <w:t xml:space="preserve">  "compat_score": 88.4</w:t>
        <w:br/>
        <w:t>}</w:t>
      </w:r>
    </w:p>
    <w:p>
      <w:pPr>
        <w:pStyle w:val="Heading2"/>
        <w:keepNext/>
      </w:pPr>
      <w:r>
        <w:t>6.2 Agent preflight evaluation</w:t>
      </w:r>
    </w:p>
    <w:p>
      <w:pPr>
        <w:spacing w:before="80" w:after="160" w:line="269" w:lineRule="auto"/>
        <w:ind w:left="360" w:right="216"/>
        <w:shd w:fill="F6F8FA"/>
        <w:pBdr>
          <w:top w:val="single" w:sz="4" w:space="6" w:color="D0D7DE"/>
          <w:left w:val="single" w:sz="4" w:space="6" w:color="D0D7DE"/>
          <w:bottom w:val="single" w:sz="4" w:space="6" w:color="D0D7DE"/>
          <w:right w:val="single" w:sz="4" w:space="6" w:color="D0D7DE"/>
        </w:pBdr>
      </w:pPr>
      <w:r>
        <w:rPr>
          <w:rFonts w:ascii="Courier New" w:hAnsi="Courier New" w:eastAsia="Courier New"/>
          <w:sz w:val="17"/>
        </w:rPr>
        <w:t>{</w:t>
        <w:br/>
        <w:t xml:space="preserve">  "entity_id": "revetoile.com",</w:t>
        <w:br/>
        <w:t xml:space="preserve">  "policy": "strict"</w:t>
        <w:br/>
        <w:t>}</w:t>
        <w:br/>
        <w:br/>
        <w:t>→</w:t>
        <w:br/>
        <w:br/>
        <w:t>{</w:t>
        <w:br/>
        <w:t xml:space="preserve">  "pass": true,</w:t>
        <w:br/>
        <w:t xml:space="preserve">  "score": 88.4,</w:t>
        <w:br/>
        <w:t xml:space="preserve">  "confidence": "confident",</w:t>
        <w:br/>
        <w:t xml:space="preserve">  "failures": [],</w:t>
        <w:br/>
        <w:t xml:space="preserve">  "warnings": []</w:t>
        <w:br/>
        <w:t>}</w:t>
      </w:r>
    </w:p>
    <w:p>
      <w:pPr>
        <w:pStyle w:val="Heading2"/>
        <w:keepNext/>
      </w:pPr>
      <w:r>
        <w:t>6.3 Proposed well-known discovery file</w:t>
      </w:r>
    </w:p>
    <w:p>
      <w:pPr>
        <w:spacing w:before="80" w:after="160" w:line="269" w:lineRule="auto"/>
        <w:ind w:left="360" w:right="216"/>
        <w:shd w:fill="F6F8FA"/>
        <w:pBdr>
          <w:top w:val="single" w:sz="4" w:space="6" w:color="D0D7DE"/>
          <w:left w:val="single" w:sz="4" w:space="6" w:color="D0D7DE"/>
          <w:bottom w:val="single" w:sz="4" w:space="6" w:color="D0D7DE"/>
          <w:right w:val="single" w:sz="4" w:space="6" w:color="D0D7DE"/>
        </w:pBdr>
      </w:pPr>
      <w:r>
        <w:rPr>
          <w:rFonts w:ascii="Courier New" w:hAnsi="Courier New" w:eastAsia="Courier New"/>
          <w:sz w:val="17"/>
        </w:rPr>
        <w:t>{</w:t>
        <w:br/>
        <w:t xml:space="preserve">  "entity_id": "revetoile.com",</w:t>
        <w:br/>
        <w:t xml:space="preserve">  "trust_profile_url": "https://revetoile.com/api/trust/profile/revetoile.com",</w:t>
        <w:br/>
        <w:t xml:space="preserve">  "trust_evaluate_url": "https://revetoile.com/api/trust/evaluate",</w:t>
        <w:br/>
        <w:t xml:space="preserve">  "compat_score_url": "https://revetoile.com/api/score/revetoile.com",</w:t>
        <w:br/>
        <w:t xml:space="preserve">  "ep_version": "1.1"</w:t>
        <w:br/>
        <w:t>}</w:t>
      </w:r>
    </w:p>
    <w:p>
      <w:pPr>
        <w:pStyle w:val="Heading1"/>
        <w:keepNext/>
      </w:pPr>
      <w:r>
        <w:t>7. Storefront placement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4F81BD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8"/>
              </w:rPr>
              <w:t>Surface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4F81BD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8"/>
              </w:rPr>
              <w:t>What to show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4F81BD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8"/>
              </w:rPr>
              <w:t>Goal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sz w:val="18"/>
              </w:rPr>
              <w:t>PDP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sz w:val="18"/>
              </w:rPr>
              <w:t>On-time delivery rate, price honored rate, return reliability, confidence level.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sz w:val="18"/>
              </w:rPr>
              <w:t>Give both humans and agents a compact trust snapshot before add-to-cart.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sz w:val="18"/>
              </w:rPr>
              <w:t>Cart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sz w:val="18"/>
              </w:rPr>
              <w:t>Policy pass message and anomaly warning if relevant.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sz w:val="18"/>
              </w:rPr>
              <w:t>Reduce hesitation just before checkout.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sz w:val="18"/>
              </w:rPr>
              <w:t>Checkout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sz w:val="18"/>
              </w:rPr>
              <w:t>Last trust update, fulfillment reliability, return-processing reliability.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sz w:val="18"/>
              </w:rPr>
              <w:t>Convert machine-readable trust into conversion reassurance.</w:t>
            </w:r>
          </w:p>
        </w:tc>
      </w:tr>
    </w:tbl>
    <w:p>
      <w:pPr>
        <w:pStyle w:val="Heading1"/>
        <w:keepNext/>
      </w:pPr>
      <w:r>
        <w:t>8. Fastest MVP roadmap</w:t>
      </w:r>
    </w:p>
    <w:p>
      <w:pPr>
        <w:pStyle w:val="Heading2"/>
        <w:keepNext/>
      </w:pPr>
      <w:r>
        <w:t>Week 1 — event ingestion</w:t>
      </w:r>
    </w:p>
    <w:p>
      <w:pPr>
        <w:pStyle w:val="ListBullet"/>
      </w:pPr>
      <w:r>
        <w:t>Install Shopify app and subscribe to key topics: orders/paid, order_transactions/create, fulfillments/create, fulfillments/update, orders/fulfilled, refunds/create, returns/request, returns/process, returns/close, orders/cancelled, and orders/updated.</w:t>
      </w:r>
    </w:p>
    <w:p>
      <w:pPr>
        <w:pStyle w:val="ListBullet"/>
      </w:pPr>
      <w:r>
        <w:t>Create the merchant_transactions table and verify webhook signatures.</w:t>
      </w:r>
    </w:p>
    <w:p>
      <w:pPr>
        <w:pStyle w:val="ListBullet"/>
      </w:pPr>
      <w:r>
        <w:t>Normalize webhook payloads into a merchant event ledger.</w:t>
      </w:r>
    </w:p>
    <w:p>
      <w:pPr>
        <w:pStyle w:val="Heading2"/>
        <w:keepNext/>
      </w:pPr>
      <w:r>
        <w:t>Week 2 — trust surfaces</w:t>
      </w:r>
    </w:p>
    <w:p>
      <w:pPr>
        <w:pStyle w:val="ListBullet"/>
      </w:pPr>
      <w:r>
        <w:t>Emit canonical EP receipts from the ledger.</w:t>
      </w:r>
    </w:p>
    <w:p>
      <w:pPr>
        <w:pStyle w:val="ListBullet"/>
      </w:pPr>
      <w:r>
        <w:t>Expose trust profile and trust evaluation endpoints.</w:t>
      </w:r>
    </w:p>
    <w:p>
      <w:pPr>
        <w:pStyle w:val="ListBullet"/>
      </w:pPr>
      <w:r>
        <w:t>Add a lightweight PDP or checkout trust widget.</w:t>
      </w:r>
    </w:p>
    <w:p>
      <w:pPr>
        <w:spacing w:line="269" w:lineRule="auto" w:after="80"/>
      </w:pPr>
      <w:r>
        <w:rPr>
          <w:b/>
        </w:rPr>
        <w:t xml:space="preserve">Skip for MVP: </w:t>
      </w:r>
      <w:r>
        <w:t>bilateral attestations, pairwise trust, dispute adjudication, and advanced anomaly UI. The first milestone is simple: make the merchant agent-readable.</w:t>
      </w:r>
    </w:p>
    <w:p>
      <w:pPr>
        <w:pStyle w:val="Heading1"/>
        <w:keepNext/>
      </w:pPr>
      <w:r>
        <w:t>9. Recommended DTC policy pack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2F5597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8"/>
              </w:rPr>
              <w:t>Policy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2F5597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8"/>
              </w:rPr>
              <w:t>Target use case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2F5597"/>
          </w:tcPr>
          <w:p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8"/>
              </w:rPr>
              <w:t>Core requirements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sz w:val="18"/>
              </w:rPr>
              <w:t>shopping_standard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sz w:val="18"/>
              </w:rPr>
              <w:t>Normal commerce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sz w:val="18"/>
              </w:rPr>
              <w:t>Score ≥ 60, confidence emerging, dispute rate ≤ 10%, delivery accuracy ≥ 75.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sz w:val="18"/>
              </w:rPr>
              <w:t>shopping_strict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sz w:val="18"/>
              </w:rPr>
              <w:t>Higher-consideration DTC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sz w:val="18"/>
              </w:rPr>
              <w:t>Score ≥ 75, confidence confident, dispute rate ≤ 3%, price integrity ≥ 95, return processing ≥ 80.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sz w:val="18"/>
              </w:rPr>
              <w:t>luxury_strict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sz w:val="18"/>
              </w:rPr>
              <w:t>Premium brands such as REVÉTOILE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sz w:val="18"/>
              </w:rPr>
              <w:t>Score ≥ 82, confidence confident, dispute rate ≤ 2%, delivery accuracy ≥ 85, return processing ≥ 85, reject anomaly true.</w:t>
            </w:r>
          </w:p>
        </w:tc>
      </w:tr>
    </w:tbl>
    <w:p>
      <w:pPr>
        <w:pStyle w:val="Heading1"/>
        <w:keepNext/>
      </w:pPr>
      <w:r>
        <w:t>10. Implementation rule</w:t>
      </w:r>
    </w:p>
    <w:p>
      <w:pPr>
        <w:spacing w:after="160" w:line="269" w:lineRule="auto"/>
      </w:pPr>
      <w:r>
        <w:rPr>
          <w:b/>
        </w:rPr>
        <w:t>Use Shopify as the event source, EP as the trust engine, and the storefront as both the human and agent presentation layer.</w:t>
      </w:r>
    </w:p>
    <w:p>
      <w:pPr>
        <w:spacing w:after="200" w:line="269" w:lineRule="auto"/>
      </w:pPr>
      <w:r>
        <w:t>The strongest DTC wedge is not “add a score badge.” It is: “Make your store machine-trustable before AI agents become a major sales channel.”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Word version prepared for implementation planning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E6E6E"/>
        <w:sz w:val="16"/>
      </w:rPr>
      <w:t>EP for DTC — Shopify Integration Spec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E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6464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