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EP Constitution</w:t>
        <w:br/>
        <w:t>and V4 Architecture</w:t>
      </w:r>
    </w:p>
    <w:p>
      <w:pPr>
        <w:pStyle w:val="Subtitle"/>
        <w:jc w:val="left"/>
      </w:pPr>
      <w:r>
        <w:t>From reputation protocol to the due-process layer for machine trust</w:t>
      </w:r>
    </w:p>
    <w:p>
      <w:pPr>
        <w:jc w:val="left"/>
      </w:pPr>
      <w:r>
        <w:rPr>
          <w:color w:val="334155"/>
          <w:sz w:val="24"/>
        </w:rPr>
        <w:t>Design objective: make EP not merely a better score, but a portable, challengeable, policy-evaluable trust substrate for commerce, routing, and machine-mediated decision-making.</w:t>
      </w:r>
    </w:p>
    <w:tbl>
      <w:tblPr>
        <w:tblW w:type="auto" w:w="0"/>
        <w:jc w:val="center"/>
        <w:tblLayout w:type="autofit"/>
        <w:tblLook w:firstColumn="1" w:firstRow="1" w:lastColumn="0" w:lastRow="0" w:noHBand="0" w:noVBand="1" w:val="04A0"/>
      </w:tblPr>
      <w:tblGrid>
        <w:gridCol w:w="9936"/>
      </w:tblGrid>
      <w:tr>
        <w:tc>
          <w:tcPr>
            <w:tcW w:type="dxa" w:w="9936"/>
            <w:shd w:fill="EAF2FF"/>
            <w:tcMar>
              <w:top w:w="150" w:type="dxa"/>
              <w:start w:w="170" w:type="dxa"/>
              <w:bottom w:w="150" w:type="dxa"/>
              <w:end w:w="170" w:type="dxa"/>
            </w:tcMar>
            <w:vAlign w:val="center"/>
          </w:tcPr>
          <w:p>
            <w:pPr>
              <w:jc w:val="left"/>
            </w:pPr>
            <w:r>
              <w:rPr>
                <w:b/>
                <w:color w:val="1F3A5F"/>
                <w:sz w:val="24"/>
              </w:rPr>
              <w:t>Core doctrine</w:t>
            </w:r>
          </w:p>
          <w:p>
            <w:pPr>
              <w:spacing w:before="40" w:after="0"/>
            </w:pPr>
            <w:r>
              <w:rPr>
                <w:b/>
                <w:color w:val="0F172A"/>
              </w:rPr>
              <w:t xml:space="preserve">EP must never make trust more powerful than appeal. </w:t>
            </w:r>
            <w:r>
              <w:rPr>
                <w:color w:val="0F172A"/>
              </w:rPr>
              <w:t>If a machine can downgrade, exclude, or reroute a counterparty using EP, that counterparty must have a legible basis, a path to challenge, and a durable record of resolution.</w:t>
            </w:r>
          </w:p>
        </w:tc>
      </w:tr>
    </w:tbl>
    <w:p/>
    <w:p>
      <w:pPr/>
      <w:r>
        <w:rPr>
          <w:b/>
          <w:color w:val="475569"/>
        </w:rPr>
        <w:t>Prepared for strategic review</w:t>
      </w:r>
      <w:r>
        <w:t xml:space="preserve"> | Version 0.1</w:t>
      </w:r>
    </w:p>
    <w:p/>
    <w:p/>
    <w:p/>
    <w:p>
      <w:r>
        <w:br w:type="page"/>
      </w:r>
    </w:p>
    <w:p>
      <w:pPr>
        <w:pStyle w:val="Heading1"/>
        <w:keepNext/>
      </w:pPr>
      <w:r>
        <w:t>Executive thesis</w:t>
      </w:r>
    </w:p>
    <w:p>
      <w:pPr>
        <w:spacing w:after="140"/>
      </w:pPr>
      <w:r>
        <w:t>MCP standardizes how models reach tools. Commerce protocols standardize how agents transact. EP’s opportunity is different and deeper: standardizing the legitimate basis on which machines decide whom to trust.</w:t>
      </w:r>
    </w:p>
    <w:p>
      <w:pPr>
        <w:spacing w:after="140"/>
      </w:pPr>
      <w:r>
        <w:t>That means EP should not define a single universal score as its identity. It should define a portable trust state machine: what was attested, what evidence supports it, what trust state is derived from it, what policy was applied, what explanation was produced, and how the result can be challenged or superseded.</w:t>
      </w:r>
    </w:p>
    <w:p>
      <w:pPr>
        <w:spacing w:after="140"/>
      </w:pPr>
      <w:r>
        <w:t>If designed correctly, EP can become for machine trust what accounting standards are for financial statements: not one company’s product, but a shared language that lets many systems compare, reason, and make decisions with due process.</w:t>
      </w:r>
    </w:p>
    <w:p>
      <w:pPr>
        <w:pStyle w:val="Heading1"/>
        <w:keepNext/>
      </w:pPr>
      <w:r>
        <w:t>What would make EP historically important</w:t>
      </w:r>
    </w:p>
    <w:p>
      <w:r>
        <w:t>Historically important protocols solve not just interoperability but legitimacy. EP becomes important when it gives machine systems a common method to make trust decisions that are evidence-aware, explainable, portable, and challengeable.</w:t>
      </w:r>
    </w:p>
    <w:p>
      <w:r>
        <w:t>The leap is from reputation to constitutional trust. A future agent economy will not merely need scores; it will need a lawful process for evaluating counterparties, escalating uncertainty, handling disputes, and preserving institutional memory across platforms.</w:t>
      </w:r>
    </w:p>
    <w:p>
      <w:pPr>
        <w:pStyle w:val="Heading1"/>
        <w:keepNext/>
      </w:pPr>
      <w:r>
        <w:t>The seven pillars of a civilization-grade trust protocol</w:t>
      </w:r>
    </w:p>
    <w:p>
      <w:pPr>
        <w:pStyle w:val="Heading2"/>
        <w:keepNext/>
      </w:pPr>
      <w:r>
        <w:t>1. Truth and judgment must be separated</w:t>
      </w:r>
    </w:p>
    <w:p>
      <w:r>
        <w:t>EP should explicitly separate Attestation, Evidence, Trust State, and Policy Result. An attestation records what an actor claims happened. Evidence records what supports it. Trust State records the system’s derived belief. Policy Result records whether a consumer accepts or rejects that state. Mixing these layers is the fastest path to confusion and abuse.</w:t>
      </w:r>
    </w:p>
    <w:p>
      <w:pPr>
        <w:pStyle w:val="Heading2"/>
        <w:keepNext/>
      </w:pPr>
      <w:r>
        <w:t>2. Trust cannot be one-dimensional</w:t>
      </w:r>
    </w:p>
    <w:p>
      <w:r>
        <w:t>A single scalar destroys critical information. The canonical output must be a Trust Profile with dimensions such as execution quality, behavioral outcomes, dispute behavior, consistency, anomaly state, provenance composition, and confidence. The score survives only as a compatibility artifact.</w:t>
      </w:r>
    </w:p>
    <w:p>
      <w:pPr>
        <w:pStyle w:val="Heading2"/>
        <w:keepNext/>
      </w:pPr>
      <w:r>
        <w:t>3. Context must be first-class</w:t>
      </w:r>
    </w:p>
    <w:p>
      <w:r>
        <w:t>Trust must be scoped to a Context Key, including task type, category, modality, geography, value band, urgency, and risk class. Global trust should be treated as a fallback prior, not as the primary representation.</w:t>
      </w:r>
    </w:p>
    <w:p>
      <w:pPr>
        <w:pStyle w:val="Heading2"/>
        <w:keepNext/>
      </w:pPr>
      <w:r>
        <w:t>4. Relationship trust matters as much as global trust</w:t>
      </w:r>
    </w:p>
    <w:p>
      <w:r>
        <w:t>The future question is not just ‘is B good?’ but ‘how well does A do with B in context C?’ EP should support pairwise trust with hierarchical fallback: exact pairwise context, nearby pairwise context, trustee context-level trust, then global trust.</w:t>
      </w:r>
    </w:p>
    <w:p>
      <w:pPr>
        <w:pStyle w:val="Heading2"/>
        <w:keepNext/>
      </w:pPr>
      <w:r>
        <w:t>5. Every negative trust effect must have due process</w:t>
      </w:r>
    </w:p>
    <w:p>
      <w:r>
        <w:t>If EP can influence routing, access, or conversion, then every material downgrade must be challengeable. The protocol therefore needs challenge states, response windows, resolution states, reversal records, and supersession rules. Silent mutation is unacceptable.</w:t>
      </w:r>
    </w:p>
    <w:p>
      <w:pPr>
        <w:pStyle w:val="Heading2"/>
        <w:keepNext/>
      </w:pPr>
      <w:r>
        <w:t>6. Provenance must outrank elegance</w:t>
      </w:r>
    </w:p>
    <w:p>
      <w:r>
        <w:t>The quality of the evidence matters more than the beauty of the formula. EP should classify attestations by provenance tier and let provenance shape confidence, effective evidence, and policy outcomes more than any cosmetic scoring nuance.</w:t>
      </w:r>
    </w:p>
    <w:p>
      <w:pPr>
        <w:pStyle w:val="Heading2"/>
        <w:keepNext/>
      </w:pPr>
      <w:r>
        <w:t>7. Neutral governance is mandatory</w:t>
      </w:r>
    </w:p>
    <w:p>
      <w:r>
        <w:t>If EP remains merely one company’s repo, it stays a product. To become infrastructure, it needs a formal spec, version discipline, conformance tests, independent implementations, and neutral stewardship.</w:t>
      </w:r>
    </w:p>
    <w:p>
      <w:pPr>
        <w:pStyle w:val="Heading1"/>
        <w:keepNext/>
      </w:pPr>
      <w:r>
        <w:t>Constitutional principles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110" w:type="dxa"/>
              <w:start w:w="120" w:type="dxa"/>
              <w:bottom w:w="110" w:type="dxa"/>
              <w:end w:w="120" w:type="dxa"/>
            </w:tcMar>
            <w:vAlign w:val="center"/>
          </w:tcPr>
          <w:p>
            <w:pPr>
              <w:jc w:val="center"/>
            </w:pPr>
            <w:r>
              <w:rPr>
                <w:b/>
                <w:color w:val="1F2937"/>
              </w:rPr>
              <w:t>Principle</w:t>
            </w:r>
          </w:p>
        </w:tc>
        <w:tc>
          <w:tcPr>
            <w:tcW w:type="dxa" w:w="3312"/>
            <w:shd w:fill="DCE6F1"/>
            <w:tcMar>
              <w:top w:w="110" w:type="dxa"/>
              <w:start w:w="120" w:type="dxa"/>
              <w:bottom w:w="110" w:type="dxa"/>
              <w:end w:w="120" w:type="dxa"/>
            </w:tcMar>
            <w:vAlign w:val="center"/>
          </w:tcPr>
          <w:p>
            <w:pPr>
              <w:jc w:val="center"/>
            </w:pPr>
            <w:r>
              <w:rPr>
                <w:b/>
                <w:color w:val="1F2937"/>
              </w:rPr>
              <w:t>Protocol rule</w:t>
            </w:r>
          </w:p>
        </w:tc>
        <w:tc>
          <w:tcPr>
            <w:tcW w:type="dxa" w:w="3312"/>
            <w:shd w:fill="DCE6F1"/>
            <w:tcMar>
              <w:top w:w="110" w:type="dxa"/>
              <w:start w:w="120" w:type="dxa"/>
              <w:bottom w:w="110" w:type="dxa"/>
              <w:end w:w="120" w:type="dxa"/>
            </w:tcMar>
            <w:vAlign w:val="center"/>
          </w:tcPr>
          <w:p>
            <w:pPr>
              <w:jc w:val="center"/>
            </w:pPr>
            <w:r>
              <w:rPr>
                <w:b/>
                <w:color w:val="1F2937"/>
              </w:rPr>
              <w:t>Why it matters</w:t>
            </w:r>
          </w:p>
        </w:tc>
      </w:tr>
      <w:tr>
        <w:tc>
          <w:tcPr>
            <w:tcW w:type="dxa" w:w="3312"/>
            <w:tcMar>
              <w:top w:w="90" w:type="dxa"/>
              <w:start w:w="110" w:type="dxa"/>
              <w:bottom w:w="90" w:type="dxa"/>
              <w:end w:w="110" w:type="dxa"/>
            </w:tcMar>
            <w:vAlign w:val="center"/>
          </w:tcPr>
          <w:p>
            <w:pPr>
              <w:jc w:val="left"/>
            </w:pPr>
            <w:r>
              <w:rPr>
                <w:sz w:val="21"/>
              </w:rPr>
              <w:t>Legibility</w:t>
            </w:r>
          </w:p>
        </w:tc>
        <w:tc>
          <w:tcPr>
            <w:tcW w:type="dxa" w:w="3312"/>
            <w:tcMar>
              <w:top w:w="90" w:type="dxa"/>
              <w:start w:w="110" w:type="dxa"/>
              <w:bottom w:w="90" w:type="dxa"/>
              <w:end w:w="110" w:type="dxa"/>
            </w:tcMar>
            <w:vAlign w:val="center"/>
          </w:tcPr>
          <w:p>
            <w:pPr>
              <w:jc w:val="left"/>
            </w:pPr>
            <w:r>
              <w:rPr>
                <w:sz w:val="21"/>
              </w:rPr>
              <w:t>Every trust-affecting output must expose basis, confidence, and reasoning inputs.</w:t>
            </w:r>
          </w:p>
        </w:tc>
        <w:tc>
          <w:tcPr>
            <w:tcW w:type="dxa" w:w="3312"/>
            <w:tcMar>
              <w:top w:w="90" w:type="dxa"/>
              <w:start w:w="110" w:type="dxa"/>
              <w:bottom w:w="90" w:type="dxa"/>
              <w:end w:w="110" w:type="dxa"/>
            </w:tcMar>
            <w:vAlign w:val="center"/>
          </w:tcPr>
          <w:p>
            <w:pPr>
              <w:jc w:val="left"/>
            </w:pPr>
            <w:r>
              <w:rPr>
                <w:sz w:val="21"/>
              </w:rPr>
              <w:t>Participants need to know what moved the result.</w:t>
            </w:r>
          </w:p>
        </w:tc>
      </w:tr>
      <w:tr>
        <w:tc>
          <w:tcPr>
            <w:tcW w:type="dxa" w:w="3312"/>
            <w:tcMar>
              <w:top w:w="90" w:type="dxa"/>
              <w:start w:w="110" w:type="dxa"/>
              <w:bottom w:w="90" w:type="dxa"/>
              <w:end w:w="110" w:type="dxa"/>
            </w:tcMar>
            <w:vAlign w:val="center"/>
          </w:tcPr>
          <w:p>
            <w:pPr>
              <w:jc w:val="left"/>
            </w:pPr>
            <w:r>
              <w:rPr>
                <w:sz w:val="21"/>
              </w:rPr>
              <w:t>Challengeability</w:t>
            </w:r>
          </w:p>
        </w:tc>
        <w:tc>
          <w:tcPr>
            <w:tcW w:type="dxa" w:w="3312"/>
            <w:tcMar>
              <w:top w:w="90" w:type="dxa"/>
              <w:start w:w="110" w:type="dxa"/>
              <w:bottom w:w="90" w:type="dxa"/>
              <w:end w:w="110" w:type="dxa"/>
            </w:tcMar>
            <w:vAlign w:val="center"/>
          </w:tcPr>
          <w:p>
            <w:pPr>
              <w:jc w:val="left"/>
            </w:pPr>
            <w:r>
              <w:rPr>
                <w:sz w:val="21"/>
              </w:rPr>
              <w:t>Any material negative result must be challengeable through a defined lifecycle.</w:t>
            </w:r>
          </w:p>
        </w:tc>
        <w:tc>
          <w:tcPr>
            <w:tcW w:type="dxa" w:w="3312"/>
            <w:tcMar>
              <w:top w:w="90" w:type="dxa"/>
              <w:start w:w="110" w:type="dxa"/>
              <w:bottom w:w="90" w:type="dxa"/>
              <w:end w:w="110" w:type="dxa"/>
            </w:tcMar>
            <w:vAlign w:val="center"/>
          </w:tcPr>
          <w:p>
            <w:pPr>
              <w:jc w:val="left"/>
            </w:pPr>
            <w:r>
              <w:rPr>
                <w:sz w:val="21"/>
              </w:rPr>
              <w:t>Prevents opaque exclusion.</w:t>
            </w:r>
          </w:p>
        </w:tc>
      </w:tr>
      <w:tr>
        <w:tc>
          <w:tcPr>
            <w:tcW w:type="dxa" w:w="3312"/>
            <w:tcMar>
              <w:top w:w="90" w:type="dxa"/>
              <w:start w:w="110" w:type="dxa"/>
              <w:bottom w:w="90" w:type="dxa"/>
              <w:end w:w="110" w:type="dxa"/>
            </w:tcMar>
            <w:vAlign w:val="center"/>
          </w:tcPr>
          <w:p>
            <w:pPr>
              <w:jc w:val="left"/>
            </w:pPr>
            <w:r>
              <w:rPr>
                <w:sz w:val="21"/>
              </w:rPr>
              <w:t>Supersession, not mutation</w:t>
            </w:r>
          </w:p>
        </w:tc>
        <w:tc>
          <w:tcPr>
            <w:tcW w:type="dxa" w:w="3312"/>
            <w:tcMar>
              <w:top w:w="90" w:type="dxa"/>
              <w:start w:w="110" w:type="dxa"/>
              <w:bottom w:w="90" w:type="dxa"/>
              <w:end w:w="110" w:type="dxa"/>
            </w:tcMar>
            <w:vAlign w:val="center"/>
          </w:tcPr>
          <w:p>
            <w:pPr>
              <w:jc w:val="left"/>
            </w:pPr>
            <w:r>
              <w:rPr>
                <w:sz w:val="21"/>
              </w:rPr>
              <w:t>Newer decisions supersede older ones; they do not erase them.</w:t>
            </w:r>
          </w:p>
        </w:tc>
        <w:tc>
          <w:tcPr>
            <w:tcW w:type="dxa" w:w="3312"/>
            <w:tcMar>
              <w:top w:w="90" w:type="dxa"/>
              <w:start w:w="110" w:type="dxa"/>
              <w:bottom w:w="90" w:type="dxa"/>
              <w:end w:w="110" w:type="dxa"/>
            </w:tcMar>
            <w:vAlign w:val="center"/>
          </w:tcPr>
          <w:p>
            <w:pPr>
              <w:jc w:val="left"/>
            </w:pPr>
            <w:r>
              <w:rPr>
                <w:sz w:val="21"/>
              </w:rPr>
              <w:t>Preserves institutional memory and auditability.</w:t>
            </w:r>
          </w:p>
        </w:tc>
      </w:tr>
      <w:tr>
        <w:tc>
          <w:tcPr>
            <w:tcW w:type="dxa" w:w="3312"/>
            <w:tcMar>
              <w:top w:w="90" w:type="dxa"/>
              <w:start w:w="110" w:type="dxa"/>
              <w:bottom w:w="90" w:type="dxa"/>
              <w:end w:w="110" w:type="dxa"/>
            </w:tcMar>
            <w:vAlign w:val="center"/>
          </w:tcPr>
          <w:p>
            <w:pPr>
              <w:jc w:val="left"/>
            </w:pPr>
            <w:r>
              <w:rPr>
                <w:sz w:val="21"/>
              </w:rPr>
              <w:t>Context discipline</w:t>
            </w:r>
          </w:p>
        </w:tc>
        <w:tc>
          <w:tcPr>
            <w:tcW w:type="dxa" w:w="3312"/>
            <w:tcMar>
              <w:top w:w="90" w:type="dxa"/>
              <w:start w:w="110" w:type="dxa"/>
              <w:bottom w:w="90" w:type="dxa"/>
              <w:end w:w="110" w:type="dxa"/>
            </w:tcMar>
            <w:vAlign w:val="center"/>
          </w:tcPr>
          <w:p>
            <w:pPr>
              <w:jc w:val="left"/>
            </w:pPr>
            <w:r>
              <w:rPr>
                <w:sz w:val="21"/>
              </w:rPr>
              <w:t>Every trust state is bound to a context or explicitly marked global-prior.</w:t>
            </w:r>
          </w:p>
        </w:tc>
        <w:tc>
          <w:tcPr>
            <w:tcW w:type="dxa" w:w="3312"/>
            <w:tcMar>
              <w:top w:w="90" w:type="dxa"/>
              <w:start w:w="110" w:type="dxa"/>
              <w:bottom w:w="90" w:type="dxa"/>
              <w:end w:w="110" w:type="dxa"/>
            </w:tcMar>
            <w:vAlign w:val="center"/>
          </w:tcPr>
          <w:p>
            <w:pPr>
              <w:jc w:val="left"/>
            </w:pPr>
            <w:r>
              <w:rPr>
                <w:sz w:val="21"/>
              </w:rPr>
              <w:t>Prevents overgeneralization.</w:t>
            </w:r>
          </w:p>
        </w:tc>
      </w:tr>
      <w:tr>
        <w:tc>
          <w:tcPr>
            <w:tcW w:type="dxa" w:w="3312"/>
            <w:tcMar>
              <w:top w:w="90" w:type="dxa"/>
              <w:start w:w="110" w:type="dxa"/>
              <w:bottom w:w="90" w:type="dxa"/>
              <w:end w:w="110" w:type="dxa"/>
            </w:tcMar>
            <w:vAlign w:val="center"/>
          </w:tcPr>
          <w:p>
            <w:pPr>
              <w:jc w:val="left"/>
            </w:pPr>
            <w:r>
              <w:rPr>
                <w:sz w:val="21"/>
              </w:rPr>
              <w:t>Provenance weighting</w:t>
            </w:r>
          </w:p>
        </w:tc>
        <w:tc>
          <w:tcPr>
            <w:tcW w:type="dxa" w:w="3312"/>
            <w:tcMar>
              <w:top w:w="90" w:type="dxa"/>
              <w:start w:w="110" w:type="dxa"/>
              <w:bottom w:w="90" w:type="dxa"/>
              <w:end w:w="110" w:type="dxa"/>
            </w:tcMar>
            <w:vAlign w:val="center"/>
          </w:tcPr>
          <w:p>
            <w:pPr>
              <w:jc w:val="left"/>
            </w:pPr>
            <w:r>
              <w:rPr>
                <w:sz w:val="21"/>
              </w:rPr>
              <w:t>Evidence quality shapes trust state before policy is applied.</w:t>
            </w:r>
          </w:p>
        </w:tc>
        <w:tc>
          <w:tcPr>
            <w:tcW w:type="dxa" w:w="3312"/>
            <w:tcMar>
              <w:top w:w="90" w:type="dxa"/>
              <w:start w:w="110" w:type="dxa"/>
              <w:bottom w:w="90" w:type="dxa"/>
              <w:end w:w="110" w:type="dxa"/>
            </w:tcMar>
            <w:vAlign w:val="center"/>
          </w:tcPr>
          <w:p>
            <w:pPr>
              <w:jc w:val="left"/>
            </w:pPr>
            <w:r>
              <w:rPr>
                <w:sz w:val="21"/>
              </w:rPr>
              <w:t>Keeps the system grounded in reality.</w:t>
            </w:r>
          </w:p>
        </w:tc>
      </w:tr>
      <w:tr>
        <w:tc>
          <w:tcPr>
            <w:tcW w:type="dxa" w:w="3312"/>
            <w:tcMar>
              <w:top w:w="90" w:type="dxa"/>
              <w:start w:w="110" w:type="dxa"/>
              <w:bottom w:w="90" w:type="dxa"/>
              <w:end w:w="110" w:type="dxa"/>
            </w:tcMar>
            <w:vAlign w:val="center"/>
          </w:tcPr>
          <w:p>
            <w:pPr>
              <w:jc w:val="left"/>
            </w:pPr>
            <w:r>
              <w:rPr>
                <w:sz w:val="21"/>
              </w:rPr>
              <w:t>Policy portability</w:t>
            </w:r>
          </w:p>
        </w:tc>
        <w:tc>
          <w:tcPr>
            <w:tcW w:type="dxa" w:w="3312"/>
            <w:tcMar>
              <w:top w:w="90" w:type="dxa"/>
              <w:start w:w="110" w:type="dxa"/>
              <w:bottom w:w="90" w:type="dxa"/>
              <w:end w:w="110" w:type="dxa"/>
            </w:tcMar>
            <w:vAlign w:val="center"/>
          </w:tcPr>
          <w:p>
            <w:pPr>
              <w:jc w:val="left"/>
            </w:pPr>
            <w:r>
              <w:rPr>
                <w:sz w:val="21"/>
              </w:rPr>
              <w:t>Policies are serializable, versioned, replayable, and explainable.</w:t>
            </w:r>
          </w:p>
        </w:tc>
        <w:tc>
          <w:tcPr>
            <w:tcW w:type="dxa" w:w="3312"/>
            <w:tcMar>
              <w:top w:w="90" w:type="dxa"/>
              <w:start w:w="110" w:type="dxa"/>
              <w:bottom w:w="90" w:type="dxa"/>
              <w:end w:w="110" w:type="dxa"/>
            </w:tcMar>
            <w:vAlign w:val="center"/>
          </w:tcPr>
          <w:p>
            <w:pPr>
              <w:jc w:val="left"/>
            </w:pPr>
            <w:r>
              <w:rPr>
                <w:sz w:val="21"/>
              </w:rPr>
              <w:t>Lets different systems consume EP consistently.</w:t>
            </w:r>
          </w:p>
        </w:tc>
      </w:tr>
    </w:tbl>
    <w:p/>
    <w:p>
      <w:pPr>
        <w:pStyle w:val="Heading1"/>
        <w:keepNext/>
      </w:pPr>
      <w:r>
        <w:t>V4 object model</w:t>
      </w:r>
    </w:p>
    <w:p>
      <w:r>
        <w:t>EP should define a compact set of canonical objects. Each object should have a stable schema, a clear lifecycle, and a precise relationship to the others.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E8EEF7"/>
            <w:tcMar>
              <w:top w:w="105" w:type="dxa"/>
              <w:start w:w="115" w:type="dxa"/>
              <w:bottom w:w="105" w:type="dxa"/>
              <w:end w:w="115" w:type="dxa"/>
            </w:tcMar>
          </w:tcPr>
          <w:p>
            <w:pPr>
              <w:jc w:val="center"/>
            </w:pPr>
            <w:r>
              <w:rPr>
                <w:b/>
              </w:rPr>
              <w:t>Object</w:t>
            </w:r>
          </w:p>
        </w:tc>
        <w:tc>
          <w:tcPr>
            <w:tcW w:type="dxa" w:w="2484"/>
            <w:shd w:fill="E8EEF7"/>
            <w:tcMar>
              <w:top w:w="105" w:type="dxa"/>
              <w:start w:w="115" w:type="dxa"/>
              <w:bottom w:w="105" w:type="dxa"/>
              <w:end w:w="115" w:type="dxa"/>
            </w:tcMar>
          </w:tcPr>
          <w:p>
            <w:pPr>
              <w:jc w:val="center"/>
            </w:pPr>
            <w:r>
              <w:rPr>
                <w:b/>
              </w:rPr>
              <w:t>Purpose</w:t>
            </w:r>
          </w:p>
        </w:tc>
        <w:tc>
          <w:tcPr>
            <w:tcW w:type="dxa" w:w="2484"/>
            <w:shd w:fill="E8EEF7"/>
            <w:tcMar>
              <w:top w:w="105" w:type="dxa"/>
              <w:start w:w="115" w:type="dxa"/>
              <w:bottom w:w="105" w:type="dxa"/>
              <w:end w:w="115" w:type="dxa"/>
            </w:tcMar>
          </w:tcPr>
          <w:p>
            <w:pPr>
              <w:jc w:val="center"/>
            </w:pPr>
            <w:r>
              <w:rPr>
                <w:b/>
              </w:rPr>
              <w:t>Must contain</w:t>
            </w:r>
          </w:p>
        </w:tc>
        <w:tc>
          <w:tcPr>
            <w:tcW w:type="dxa" w:w="2484"/>
            <w:shd w:fill="E8EEF7"/>
            <w:tcMar>
              <w:top w:w="105" w:type="dxa"/>
              <w:start w:w="115" w:type="dxa"/>
              <w:bottom w:w="105" w:type="dxa"/>
              <w:end w:w="115" w:type="dxa"/>
            </w:tcMar>
          </w:tcPr>
          <w:p>
            <w:pPr>
              <w:jc w:val="center"/>
            </w:pPr>
            <w:r>
              <w:rPr>
                <w:b/>
              </w:rPr>
              <w:t>Must not do</w:t>
            </w:r>
          </w:p>
        </w:tc>
      </w:tr>
      <w:tr>
        <w:tc>
          <w:tcPr>
            <w:tcW w:type="dxa" w:w="2484"/>
            <w:tcMar>
              <w:top w:w="90" w:type="dxa"/>
              <w:start w:w="110" w:type="dxa"/>
              <w:bottom w:w="90" w:type="dxa"/>
              <w:end w:w="110" w:type="dxa"/>
            </w:tcMar>
            <w:vAlign w:val="center"/>
          </w:tcPr>
          <w:p>
            <w:pPr>
              <w:jc w:val="left"/>
            </w:pPr>
            <w:r>
              <w:rPr>
                <w:sz w:val="20"/>
              </w:rPr>
              <w:t>Attestation</w:t>
            </w:r>
          </w:p>
        </w:tc>
        <w:tc>
          <w:tcPr>
            <w:tcW w:type="dxa" w:w="2484"/>
            <w:tcMar>
              <w:top w:w="90" w:type="dxa"/>
              <w:start w:w="110" w:type="dxa"/>
              <w:bottom w:w="90" w:type="dxa"/>
              <w:end w:w="110" w:type="dxa"/>
            </w:tcMar>
            <w:vAlign w:val="center"/>
          </w:tcPr>
          <w:p>
            <w:pPr>
              <w:jc w:val="left"/>
            </w:pPr>
            <w:r>
              <w:rPr>
                <w:sz w:val="20"/>
              </w:rPr>
              <w:t>Record what an actor claims happened.</w:t>
            </w:r>
          </w:p>
        </w:tc>
        <w:tc>
          <w:tcPr>
            <w:tcW w:type="dxa" w:w="2484"/>
            <w:tcMar>
              <w:top w:w="90" w:type="dxa"/>
              <w:start w:w="110" w:type="dxa"/>
              <w:bottom w:w="90" w:type="dxa"/>
              <w:end w:w="110" w:type="dxa"/>
            </w:tcMar>
            <w:vAlign w:val="center"/>
          </w:tcPr>
          <w:p>
            <w:pPr>
              <w:jc w:val="left"/>
            </w:pPr>
            <w:r>
              <w:rPr>
                <w:sz w:val="20"/>
              </w:rPr>
              <w:t>Actors, transaction ref, context key, claimed outcome, timestamps, signatures.</w:t>
            </w:r>
          </w:p>
        </w:tc>
        <w:tc>
          <w:tcPr>
            <w:tcW w:type="dxa" w:w="2484"/>
            <w:tcMar>
              <w:top w:w="90" w:type="dxa"/>
              <w:start w:w="110" w:type="dxa"/>
              <w:bottom w:w="90" w:type="dxa"/>
              <w:end w:w="110" w:type="dxa"/>
            </w:tcMar>
            <w:vAlign w:val="center"/>
          </w:tcPr>
          <w:p>
            <w:pPr>
              <w:jc w:val="left"/>
            </w:pPr>
            <w:r>
              <w:rPr>
                <w:sz w:val="20"/>
              </w:rPr>
              <w:t>It must not pretend to be final truth.</w:t>
            </w:r>
          </w:p>
        </w:tc>
      </w:tr>
      <w:tr>
        <w:tc>
          <w:tcPr>
            <w:tcW w:type="dxa" w:w="2484"/>
            <w:tcMar>
              <w:top w:w="90" w:type="dxa"/>
              <w:start w:w="110" w:type="dxa"/>
              <w:bottom w:w="90" w:type="dxa"/>
              <w:end w:w="110" w:type="dxa"/>
            </w:tcMar>
            <w:vAlign w:val="center"/>
          </w:tcPr>
          <w:p>
            <w:pPr>
              <w:jc w:val="left"/>
            </w:pPr>
            <w:r>
              <w:rPr>
                <w:sz w:val="20"/>
              </w:rPr>
              <w:t>Evidence</w:t>
            </w:r>
          </w:p>
        </w:tc>
        <w:tc>
          <w:tcPr>
            <w:tcW w:type="dxa" w:w="2484"/>
            <w:tcMar>
              <w:top w:w="90" w:type="dxa"/>
              <w:start w:w="110" w:type="dxa"/>
              <w:bottom w:w="90" w:type="dxa"/>
              <w:end w:w="110" w:type="dxa"/>
            </w:tcMar>
            <w:vAlign w:val="center"/>
          </w:tcPr>
          <w:p>
            <w:pPr>
              <w:jc w:val="left"/>
            </w:pPr>
            <w:r>
              <w:rPr>
                <w:sz w:val="20"/>
              </w:rPr>
              <w:t>Support or undermine an attestation.</w:t>
            </w:r>
          </w:p>
        </w:tc>
        <w:tc>
          <w:tcPr>
            <w:tcW w:type="dxa" w:w="2484"/>
            <w:tcMar>
              <w:top w:w="90" w:type="dxa"/>
              <w:start w:w="110" w:type="dxa"/>
              <w:bottom w:w="90" w:type="dxa"/>
              <w:end w:w="110" w:type="dxa"/>
            </w:tcMar>
            <w:vAlign w:val="center"/>
          </w:tcPr>
          <w:p>
            <w:pPr>
              <w:jc w:val="left"/>
            </w:pPr>
            <w:r>
              <w:rPr>
                <w:sz w:val="20"/>
              </w:rPr>
              <w:t>Typed references such as payment confirmation, tracking event, refund completion, bilateral acknowledgment.</w:t>
            </w:r>
          </w:p>
        </w:tc>
        <w:tc>
          <w:tcPr>
            <w:tcW w:type="dxa" w:w="2484"/>
            <w:tcMar>
              <w:top w:w="90" w:type="dxa"/>
              <w:start w:w="110" w:type="dxa"/>
              <w:bottom w:w="90" w:type="dxa"/>
              <w:end w:w="110" w:type="dxa"/>
            </w:tcMar>
            <w:vAlign w:val="center"/>
          </w:tcPr>
          <w:p>
            <w:pPr>
              <w:jc w:val="left"/>
            </w:pPr>
            <w:r>
              <w:rPr>
                <w:sz w:val="20"/>
              </w:rPr>
              <w:t>It must not be confused with trust state.</w:t>
            </w:r>
          </w:p>
        </w:tc>
      </w:tr>
      <w:tr>
        <w:tc>
          <w:tcPr>
            <w:tcW w:type="dxa" w:w="2484"/>
            <w:tcMar>
              <w:top w:w="90" w:type="dxa"/>
              <w:start w:w="110" w:type="dxa"/>
              <w:bottom w:w="90" w:type="dxa"/>
              <w:end w:w="110" w:type="dxa"/>
            </w:tcMar>
            <w:vAlign w:val="center"/>
          </w:tcPr>
          <w:p>
            <w:pPr>
              <w:jc w:val="left"/>
            </w:pPr>
            <w:r>
              <w:rPr>
                <w:sz w:val="20"/>
              </w:rPr>
              <w:t>Trust State</w:t>
            </w:r>
          </w:p>
        </w:tc>
        <w:tc>
          <w:tcPr>
            <w:tcW w:type="dxa" w:w="2484"/>
            <w:tcMar>
              <w:top w:w="90" w:type="dxa"/>
              <w:start w:w="110" w:type="dxa"/>
              <w:bottom w:w="90" w:type="dxa"/>
              <w:end w:w="110" w:type="dxa"/>
            </w:tcMar>
            <w:vAlign w:val="center"/>
          </w:tcPr>
          <w:p>
            <w:pPr>
              <w:jc w:val="left"/>
            </w:pPr>
            <w:r>
              <w:rPr>
                <w:sz w:val="20"/>
              </w:rPr>
              <w:t>Derived current belief from attestations and evidence.</w:t>
            </w:r>
          </w:p>
        </w:tc>
        <w:tc>
          <w:tcPr>
            <w:tcW w:type="dxa" w:w="2484"/>
            <w:tcMar>
              <w:top w:w="90" w:type="dxa"/>
              <w:start w:w="110" w:type="dxa"/>
              <w:bottom w:w="90" w:type="dxa"/>
              <w:end w:w="110" w:type="dxa"/>
            </w:tcMar>
            <w:vAlign w:val="center"/>
          </w:tcPr>
          <w:p>
            <w:pPr>
              <w:jc w:val="left"/>
            </w:pPr>
            <w:r>
              <w:rPr>
                <w:sz w:val="20"/>
              </w:rPr>
              <w:t>Profile, confidence, anomaly state, provenance composition, support counts.</w:t>
            </w:r>
          </w:p>
        </w:tc>
        <w:tc>
          <w:tcPr>
            <w:tcW w:type="dxa" w:w="2484"/>
            <w:tcMar>
              <w:top w:w="90" w:type="dxa"/>
              <w:start w:w="110" w:type="dxa"/>
              <w:bottom w:w="90" w:type="dxa"/>
              <w:end w:w="110" w:type="dxa"/>
            </w:tcMar>
            <w:vAlign w:val="center"/>
          </w:tcPr>
          <w:p>
            <w:pPr>
              <w:jc w:val="left"/>
            </w:pPr>
            <w:r>
              <w:rPr>
                <w:sz w:val="20"/>
              </w:rPr>
              <w:t>It must not directly encode consumer policy.</w:t>
            </w:r>
          </w:p>
        </w:tc>
      </w:tr>
      <w:tr>
        <w:tc>
          <w:tcPr>
            <w:tcW w:type="dxa" w:w="2484"/>
            <w:tcMar>
              <w:top w:w="90" w:type="dxa"/>
              <w:start w:w="110" w:type="dxa"/>
              <w:bottom w:w="90" w:type="dxa"/>
              <w:end w:w="110" w:type="dxa"/>
            </w:tcMar>
            <w:vAlign w:val="center"/>
          </w:tcPr>
          <w:p>
            <w:pPr>
              <w:jc w:val="left"/>
            </w:pPr>
            <w:r>
              <w:rPr>
                <w:sz w:val="20"/>
              </w:rPr>
              <w:t>Policy Result</w:t>
            </w:r>
          </w:p>
        </w:tc>
        <w:tc>
          <w:tcPr>
            <w:tcW w:type="dxa" w:w="2484"/>
            <w:tcMar>
              <w:top w:w="90" w:type="dxa"/>
              <w:start w:w="110" w:type="dxa"/>
              <w:bottom w:w="90" w:type="dxa"/>
              <w:end w:w="110" w:type="dxa"/>
            </w:tcMar>
            <w:vAlign w:val="center"/>
          </w:tcPr>
          <w:p>
            <w:pPr>
              <w:jc w:val="left"/>
            </w:pPr>
            <w:r>
              <w:rPr>
                <w:sz w:val="20"/>
              </w:rPr>
              <w:t>Apply a consumer’s acceptance criteria.</w:t>
            </w:r>
          </w:p>
        </w:tc>
        <w:tc>
          <w:tcPr>
            <w:tcW w:type="dxa" w:w="2484"/>
            <w:tcMar>
              <w:top w:w="90" w:type="dxa"/>
              <w:start w:w="110" w:type="dxa"/>
              <w:bottom w:w="90" w:type="dxa"/>
              <w:end w:w="110" w:type="dxa"/>
            </w:tcMar>
            <w:vAlign w:val="center"/>
          </w:tcPr>
          <w:p>
            <w:pPr>
              <w:jc w:val="left"/>
            </w:pPr>
            <w:r>
              <w:rPr>
                <w:sz w:val="20"/>
              </w:rPr>
              <w:t>Pass/review/fail, failed checks, warnings, evaluation trace, policy version.</w:t>
            </w:r>
          </w:p>
        </w:tc>
        <w:tc>
          <w:tcPr>
            <w:tcW w:type="dxa" w:w="2484"/>
            <w:tcMar>
              <w:top w:w="90" w:type="dxa"/>
              <w:start w:w="110" w:type="dxa"/>
              <w:bottom w:w="90" w:type="dxa"/>
              <w:end w:w="110" w:type="dxa"/>
            </w:tcMar>
            <w:vAlign w:val="center"/>
          </w:tcPr>
          <w:p>
            <w:pPr>
              <w:jc w:val="left"/>
            </w:pPr>
            <w:r>
              <w:rPr>
                <w:sz w:val="20"/>
              </w:rPr>
              <w:t>It must not rewrite trust state.</w:t>
            </w:r>
          </w:p>
        </w:tc>
      </w:tr>
      <w:tr>
        <w:tc>
          <w:tcPr>
            <w:tcW w:type="dxa" w:w="2484"/>
            <w:tcMar>
              <w:top w:w="90" w:type="dxa"/>
              <w:start w:w="110" w:type="dxa"/>
              <w:bottom w:w="90" w:type="dxa"/>
              <w:end w:w="110" w:type="dxa"/>
            </w:tcMar>
            <w:vAlign w:val="center"/>
          </w:tcPr>
          <w:p>
            <w:pPr>
              <w:jc w:val="left"/>
            </w:pPr>
            <w:r>
              <w:rPr>
                <w:sz w:val="20"/>
              </w:rPr>
              <w:t>Dispute Record</w:t>
            </w:r>
          </w:p>
        </w:tc>
        <w:tc>
          <w:tcPr>
            <w:tcW w:type="dxa" w:w="2484"/>
            <w:tcMar>
              <w:top w:w="90" w:type="dxa"/>
              <w:start w:w="110" w:type="dxa"/>
              <w:bottom w:w="90" w:type="dxa"/>
              <w:end w:w="110" w:type="dxa"/>
            </w:tcMar>
            <w:vAlign w:val="center"/>
          </w:tcPr>
          <w:p>
            <w:pPr>
              <w:jc w:val="left"/>
            </w:pPr>
            <w:r>
              <w:rPr>
                <w:sz w:val="20"/>
              </w:rPr>
              <w:t>Preserve challenge and resolution process.</w:t>
            </w:r>
          </w:p>
        </w:tc>
        <w:tc>
          <w:tcPr>
            <w:tcW w:type="dxa" w:w="2484"/>
            <w:tcMar>
              <w:top w:w="90" w:type="dxa"/>
              <w:start w:w="110" w:type="dxa"/>
              <w:bottom w:w="90" w:type="dxa"/>
              <w:end w:w="110" w:type="dxa"/>
            </w:tcMar>
            <w:vAlign w:val="center"/>
          </w:tcPr>
          <w:p>
            <w:pPr>
              <w:jc w:val="left"/>
            </w:pPr>
            <w:r>
              <w:rPr>
                <w:sz w:val="20"/>
              </w:rPr>
              <w:t>Grounds, response, evidence additions, resolution, supersession link.</w:t>
            </w:r>
          </w:p>
        </w:tc>
        <w:tc>
          <w:tcPr>
            <w:tcW w:type="dxa" w:w="2484"/>
            <w:tcMar>
              <w:top w:w="90" w:type="dxa"/>
              <w:start w:w="110" w:type="dxa"/>
              <w:bottom w:w="90" w:type="dxa"/>
              <w:end w:w="110" w:type="dxa"/>
            </w:tcMar>
            <w:vAlign w:val="center"/>
          </w:tcPr>
          <w:p>
            <w:pPr>
              <w:jc w:val="left"/>
            </w:pPr>
            <w:r>
              <w:rPr>
                <w:sz w:val="20"/>
              </w:rPr>
              <w:t>It must not silently erase history.</w:t>
            </w:r>
          </w:p>
        </w:tc>
      </w:tr>
    </w:tbl>
    <w:p/>
    <w:p>
      <w:pPr>
        <w:pStyle w:val="Heading1"/>
        <w:keepNext/>
      </w:pPr>
      <w:r>
        <w:t>Context and relationship trust</w:t>
      </w:r>
    </w:p>
    <w:p>
      <w:r>
        <w:t>Context should be a native primitive, not a metadata afterthought. The protocol should let implementers specify a Context Key that is stable enough for routing and policy decisions while remaining compact enough to serialize across systems.</w:t>
      </w:r>
    </w:p>
    <w:p>
      <w:r>
        <w:t>Relationship trust should be computed with hierarchical backoff: first from direct pairwise evidence in the exact context, then from adjacent contexts, then from trustee-level context priors, and finally from global priors. The response should disclose exactly how much of the result came from direct evidence versus fallback.</w:t>
      </w:r>
    </w:p>
    <w:tbl>
      <w:tblPr>
        <w:tblW w:type="auto" w:w="0"/>
        <w:jc w:val="center"/>
        <w:tblLook w:firstColumn="1" w:firstRow="1" w:lastColumn="0" w:lastRow="0" w:noHBand="0" w:noVBand="1" w:val="04A0"/>
      </w:tblPr>
      <w:tblGrid>
        <w:gridCol w:w="9936"/>
      </w:tblGrid>
      <w:tr>
        <w:tc>
          <w:tcPr>
            <w:tcW w:type="dxa" w:w="9936"/>
            <w:shd w:fill="F8FAFC"/>
            <w:tcMar>
              <w:top w:w="110" w:type="dxa"/>
              <w:start w:w="130" w:type="dxa"/>
              <w:bottom w:w="110" w:type="dxa"/>
              <w:end w:w="130" w:type="dxa"/>
            </w:tcMar>
          </w:tcPr>
          <w:p>
            <w:r>
              <w:rPr>
                <w:b/>
                <w:color w:val="1F3A5F"/>
              </w:rPr>
              <w:t>Illustrative Context Key</w:t>
            </w:r>
          </w:p>
          <w:p>
            <w:pPr>
              <w:spacing w:before="80"/>
            </w:pPr>
            <w:r>
              <w:rPr>
                <w:rFonts w:ascii="Courier New" w:hAnsi="Courier New"/>
                <w:sz w:val="19"/>
              </w:rPr>
              <w:t>{</w:t>
              <w:br/>
              <w:t xml:space="preserve">  "task_type": "purchase",</w:t>
              <w:br/>
              <w:t xml:space="preserve">  "category": "furniture",</w:t>
              <w:br/>
              <w:t xml:space="preserve">  "modality": "ltl_white_glove",</w:t>
              <w:br/>
              <w:t xml:space="preserve">  "geo": "US-CA",</w:t>
              <w:br/>
              <w:t xml:space="preserve">  "value_band": "1000-3000",</w:t>
              <w:br/>
              <w:t xml:space="preserve">  "urgency": "standard",</w:t>
              <w:br/>
              <w:t xml:space="preserve">  "risk_class": "consumer"</w:t>
              <w:br/>
              <w:t>}</w:t>
            </w:r>
          </w:p>
        </w:tc>
      </w:tr>
    </w:tbl>
    <w:p/>
    <w:p>
      <w:pPr>
        <w:pStyle w:val="Heading1"/>
        <w:keepNext/>
      </w:pPr>
      <w:r>
        <w:t>Provenance tiers</w:t>
      </w:r>
    </w:p>
    <w:p>
      <w:r>
        <w:t>EP should classify receipts by provenance so that the protocol can distinguish easy-to-fake claims from strong, externally corroborated events.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105" w:type="dxa"/>
              <w:start w:w="115" w:type="dxa"/>
              <w:bottom w:w="105" w:type="dxa"/>
              <w:end w:w="115" w:type="dxa"/>
            </w:tcMar>
          </w:tcPr>
          <w:p>
            <w:pPr>
              <w:jc w:val="center"/>
            </w:pPr>
            <w:r>
              <w:rPr>
                <w:b/>
              </w:rPr>
              <w:t>Tier</w:t>
            </w:r>
          </w:p>
        </w:tc>
        <w:tc>
          <w:tcPr>
            <w:tcW w:type="dxa" w:w="3312"/>
            <w:shd w:fill="DCE6F1"/>
            <w:tcMar>
              <w:top w:w="105" w:type="dxa"/>
              <w:start w:w="115" w:type="dxa"/>
              <w:bottom w:w="105" w:type="dxa"/>
              <w:end w:w="115" w:type="dxa"/>
            </w:tcMar>
          </w:tcPr>
          <w:p>
            <w:pPr>
              <w:jc w:val="center"/>
            </w:pPr>
            <w:r>
              <w:rPr>
                <w:b/>
              </w:rPr>
              <w:t>Meaning</w:t>
            </w:r>
          </w:p>
        </w:tc>
        <w:tc>
          <w:tcPr>
            <w:tcW w:type="dxa" w:w="3312"/>
            <w:shd w:fill="DCE6F1"/>
            <w:tcMar>
              <w:top w:w="105" w:type="dxa"/>
              <w:start w:w="115" w:type="dxa"/>
              <w:bottom w:w="105" w:type="dxa"/>
              <w:end w:w="115" w:type="dxa"/>
            </w:tcMar>
          </w:tcPr>
          <w:p>
            <w:pPr>
              <w:jc w:val="center"/>
            </w:pPr>
            <w:r>
              <w:rPr>
                <w:b/>
              </w:rPr>
              <w:t>Typical examples</w:t>
            </w:r>
          </w:p>
        </w:tc>
      </w:tr>
      <w:tr>
        <w:tc>
          <w:tcPr>
            <w:tcW w:type="dxa" w:w="3312"/>
            <w:tcMar>
              <w:top w:w="90" w:type="dxa"/>
              <w:start w:w="110" w:type="dxa"/>
              <w:bottom w:w="90" w:type="dxa"/>
              <w:end w:w="110" w:type="dxa"/>
            </w:tcMar>
            <w:vAlign w:val="center"/>
          </w:tcPr>
          <w:p>
            <w:pPr>
              <w:jc w:val="left"/>
            </w:pPr>
            <w:r>
              <w:rPr>
                <w:sz w:val="20"/>
              </w:rPr>
              <w:t>Tier 0</w:t>
            </w:r>
          </w:p>
        </w:tc>
        <w:tc>
          <w:tcPr>
            <w:tcW w:type="dxa" w:w="3312"/>
            <w:tcMar>
              <w:top w:w="90" w:type="dxa"/>
              <w:start w:w="110" w:type="dxa"/>
              <w:bottom w:w="90" w:type="dxa"/>
              <w:end w:w="110" w:type="dxa"/>
            </w:tcMar>
            <w:vAlign w:val="center"/>
          </w:tcPr>
          <w:p>
            <w:pPr>
              <w:jc w:val="left"/>
            </w:pPr>
            <w:r>
              <w:rPr>
                <w:sz w:val="20"/>
              </w:rPr>
              <w:t>Unilateral self-attested</w:t>
            </w:r>
          </w:p>
        </w:tc>
        <w:tc>
          <w:tcPr>
            <w:tcW w:type="dxa" w:w="3312"/>
            <w:tcMar>
              <w:top w:w="90" w:type="dxa"/>
              <w:start w:w="110" w:type="dxa"/>
              <w:bottom w:w="90" w:type="dxa"/>
              <w:end w:w="110" w:type="dxa"/>
            </w:tcMar>
            <w:vAlign w:val="center"/>
          </w:tcPr>
          <w:p>
            <w:pPr>
              <w:jc w:val="left"/>
            </w:pPr>
            <w:r>
              <w:rPr>
                <w:sz w:val="20"/>
              </w:rPr>
              <w:t>Merchant-submitted claim without external corroboration</w:t>
            </w:r>
          </w:p>
        </w:tc>
      </w:tr>
      <w:tr>
        <w:tc>
          <w:tcPr>
            <w:tcW w:type="dxa" w:w="3312"/>
            <w:tcMar>
              <w:top w:w="90" w:type="dxa"/>
              <w:start w:w="110" w:type="dxa"/>
              <w:bottom w:w="90" w:type="dxa"/>
              <w:end w:w="110" w:type="dxa"/>
            </w:tcMar>
            <w:vAlign w:val="center"/>
          </w:tcPr>
          <w:p>
            <w:pPr>
              <w:jc w:val="left"/>
            </w:pPr>
            <w:r>
              <w:rPr>
                <w:sz w:val="20"/>
              </w:rPr>
              <w:t>Tier 1</w:t>
            </w:r>
          </w:p>
        </w:tc>
        <w:tc>
          <w:tcPr>
            <w:tcW w:type="dxa" w:w="3312"/>
            <w:tcMar>
              <w:top w:w="90" w:type="dxa"/>
              <w:start w:w="110" w:type="dxa"/>
              <w:bottom w:w="90" w:type="dxa"/>
              <w:end w:w="110" w:type="dxa"/>
            </w:tcMar>
            <w:vAlign w:val="center"/>
          </w:tcPr>
          <w:p>
            <w:pPr>
              <w:jc w:val="left"/>
            </w:pPr>
            <w:r>
              <w:rPr>
                <w:sz w:val="20"/>
              </w:rPr>
              <w:t>Identified unilateral attestation</w:t>
            </w:r>
          </w:p>
        </w:tc>
        <w:tc>
          <w:tcPr>
            <w:tcW w:type="dxa" w:w="3312"/>
            <w:tcMar>
              <w:top w:w="90" w:type="dxa"/>
              <w:start w:w="110" w:type="dxa"/>
              <w:bottom w:w="90" w:type="dxa"/>
              <w:end w:w="110" w:type="dxa"/>
            </w:tcMar>
            <w:vAlign w:val="center"/>
          </w:tcPr>
          <w:p>
            <w:pPr>
              <w:jc w:val="left"/>
            </w:pPr>
            <w:r>
              <w:rPr>
                <w:sz w:val="20"/>
              </w:rPr>
              <w:t>Signed agent assertion with stable identity</w:t>
            </w:r>
          </w:p>
        </w:tc>
      </w:tr>
      <w:tr>
        <w:tc>
          <w:tcPr>
            <w:tcW w:type="dxa" w:w="3312"/>
            <w:tcMar>
              <w:top w:w="90" w:type="dxa"/>
              <w:start w:w="110" w:type="dxa"/>
              <w:bottom w:w="90" w:type="dxa"/>
              <w:end w:w="110" w:type="dxa"/>
            </w:tcMar>
            <w:vAlign w:val="center"/>
          </w:tcPr>
          <w:p>
            <w:pPr>
              <w:jc w:val="left"/>
            </w:pPr>
            <w:r>
              <w:rPr>
                <w:sz w:val="20"/>
              </w:rPr>
              <w:t>Tier 2</w:t>
            </w:r>
          </w:p>
        </w:tc>
        <w:tc>
          <w:tcPr>
            <w:tcW w:type="dxa" w:w="3312"/>
            <w:tcMar>
              <w:top w:w="90" w:type="dxa"/>
              <w:start w:w="110" w:type="dxa"/>
              <w:bottom w:w="90" w:type="dxa"/>
              <w:end w:w="110" w:type="dxa"/>
            </w:tcMar>
            <w:vAlign w:val="center"/>
          </w:tcPr>
          <w:p>
            <w:pPr>
              <w:jc w:val="left"/>
            </w:pPr>
            <w:r>
              <w:rPr>
                <w:sz w:val="20"/>
              </w:rPr>
              <w:t>Bilateral attestation</w:t>
            </w:r>
          </w:p>
        </w:tc>
        <w:tc>
          <w:tcPr>
            <w:tcW w:type="dxa" w:w="3312"/>
            <w:tcMar>
              <w:top w:w="90" w:type="dxa"/>
              <w:start w:w="110" w:type="dxa"/>
              <w:bottom w:w="90" w:type="dxa"/>
              <w:end w:w="110" w:type="dxa"/>
            </w:tcMar>
            <w:vAlign w:val="center"/>
          </w:tcPr>
          <w:p>
            <w:pPr>
              <w:jc w:val="left"/>
            </w:pPr>
            <w:r>
              <w:rPr>
                <w:sz w:val="20"/>
              </w:rPr>
              <w:t>Both sides acknowledge the same transaction outcome</w:t>
            </w:r>
          </w:p>
        </w:tc>
      </w:tr>
      <w:tr>
        <w:tc>
          <w:tcPr>
            <w:tcW w:type="dxa" w:w="3312"/>
            <w:tcMar>
              <w:top w:w="90" w:type="dxa"/>
              <w:start w:w="110" w:type="dxa"/>
              <w:bottom w:w="90" w:type="dxa"/>
              <w:end w:w="110" w:type="dxa"/>
            </w:tcMar>
            <w:vAlign w:val="center"/>
          </w:tcPr>
          <w:p>
            <w:pPr>
              <w:jc w:val="left"/>
            </w:pPr>
            <w:r>
              <w:rPr>
                <w:sz w:val="20"/>
              </w:rPr>
              <w:t>Tier 3</w:t>
            </w:r>
          </w:p>
        </w:tc>
        <w:tc>
          <w:tcPr>
            <w:tcW w:type="dxa" w:w="3312"/>
            <w:tcMar>
              <w:top w:w="90" w:type="dxa"/>
              <w:start w:w="110" w:type="dxa"/>
              <w:bottom w:w="90" w:type="dxa"/>
              <w:end w:w="110" w:type="dxa"/>
            </w:tcMar>
            <w:vAlign w:val="center"/>
          </w:tcPr>
          <w:p>
            <w:pPr>
              <w:jc w:val="left"/>
            </w:pPr>
            <w:r>
              <w:rPr>
                <w:sz w:val="20"/>
              </w:rPr>
              <w:t>Platform- or processor-originated</w:t>
            </w:r>
          </w:p>
        </w:tc>
        <w:tc>
          <w:tcPr>
            <w:tcW w:type="dxa" w:w="3312"/>
            <w:tcMar>
              <w:top w:w="90" w:type="dxa"/>
              <w:start w:w="110" w:type="dxa"/>
              <w:bottom w:w="90" w:type="dxa"/>
              <w:end w:w="110" w:type="dxa"/>
            </w:tcMar>
            <w:vAlign w:val="center"/>
          </w:tcPr>
          <w:p>
            <w:pPr>
              <w:jc w:val="left"/>
            </w:pPr>
            <w:r>
              <w:rPr>
                <w:sz w:val="20"/>
              </w:rPr>
              <w:t>Shopify event, payment capture, carrier scan, refund completion</w:t>
            </w:r>
          </w:p>
        </w:tc>
      </w:tr>
      <w:tr>
        <w:tc>
          <w:tcPr>
            <w:tcW w:type="dxa" w:w="3312"/>
            <w:tcMar>
              <w:top w:w="90" w:type="dxa"/>
              <w:start w:w="110" w:type="dxa"/>
              <w:bottom w:w="90" w:type="dxa"/>
              <w:end w:w="110" w:type="dxa"/>
            </w:tcMar>
            <w:vAlign w:val="center"/>
          </w:tcPr>
          <w:p>
            <w:pPr>
              <w:jc w:val="left"/>
            </w:pPr>
            <w:r>
              <w:rPr>
                <w:sz w:val="20"/>
              </w:rPr>
              <w:t>Tier 4</w:t>
            </w:r>
          </w:p>
        </w:tc>
        <w:tc>
          <w:tcPr>
            <w:tcW w:type="dxa" w:w="3312"/>
            <w:tcMar>
              <w:top w:w="90" w:type="dxa"/>
              <w:start w:w="110" w:type="dxa"/>
              <w:bottom w:w="90" w:type="dxa"/>
              <w:end w:w="110" w:type="dxa"/>
            </w:tcMar>
            <w:vAlign w:val="center"/>
          </w:tcPr>
          <w:p>
            <w:pPr>
              <w:jc w:val="left"/>
            </w:pPr>
            <w:r>
              <w:rPr>
                <w:sz w:val="20"/>
              </w:rPr>
              <w:t>Adjudicated or oracle-verified</w:t>
            </w:r>
          </w:p>
        </w:tc>
        <w:tc>
          <w:tcPr>
            <w:tcW w:type="dxa" w:w="3312"/>
            <w:tcMar>
              <w:top w:w="90" w:type="dxa"/>
              <w:start w:w="110" w:type="dxa"/>
              <w:bottom w:w="90" w:type="dxa"/>
              <w:end w:w="110" w:type="dxa"/>
            </w:tcMar>
            <w:vAlign w:val="center"/>
          </w:tcPr>
          <w:p>
            <w:pPr>
              <w:jc w:val="left"/>
            </w:pPr>
            <w:r>
              <w:rPr>
                <w:sz w:val="20"/>
              </w:rPr>
              <w:t>Resolved dispute, trusted oracle, independent determination</w:t>
            </w:r>
          </w:p>
        </w:tc>
      </w:tr>
    </w:tbl>
    <w:p/>
    <w:p>
      <w:pPr>
        <w:pStyle w:val="Heading1"/>
        <w:keepNext/>
      </w:pPr>
      <w:r>
        <w:t>Due-process lifecycle</w:t>
      </w:r>
    </w:p>
    <w:p>
      <w:r>
        <w:t>A future trust layer must not merely compute outcomes; it must preserve procedural fairness.</w:t>
      </w:r>
    </w:p>
    <w:p>
      <w:pPr>
        <w:pStyle w:val="Heading3"/>
        <w:keepNext/>
      </w:pPr>
      <w:r>
        <w:t>Submitted</w:t>
      </w:r>
    </w:p>
    <w:p>
      <w:r>
        <w:t>Attestation enters the ledger with evidence references and provenance tier.</w:t>
      </w:r>
    </w:p>
    <w:p>
      <w:pPr>
        <w:pStyle w:val="Heading3"/>
        <w:keepNext/>
      </w:pPr>
      <w:r>
        <w:t>Contested</w:t>
      </w:r>
    </w:p>
    <w:p>
      <w:r>
        <w:t>A materially affected party raises a challenge and states the grounds.</w:t>
      </w:r>
    </w:p>
    <w:p>
      <w:pPr>
        <w:pStyle w:val="Heading3"/>
        <w:keepNext/>
      </w:pPr>
      <w:r>
        <w:t>Under review</w:t>
      </w:r>
    </w:p>
    <w:p>
      <w:r>
        <w:t>Counter-evidence and responses are appended within a defined response window.</w:t>
      </w:r>
    </w:p>
    <w:p>
      <w:pPr>
        <w:pStyle w:val="Heading3"/>
        <w:keepNext/>
      </w:pPr>
      <w:r>
        <w:t>Resolved - upheld</w:t>
      </w:r>
    </w:p>
    <w:p>
      <w:r>
        <w:t>Original attestation stands and resolution rationale is preserved.</w:t>
      </w:r>
    </w:p>
    <w:p>
      <w:pPr>
        <w:pStyle w:val="Heading3"/>
        <w:keepNext/>
      </w:pPr>
      <w:r>
        <w:t>Resolved - reversed</w:t>
      </w:r>
    </w:p>
    <w:p>
      <w:r>
        <w:t>Trust effect is reversed with an explicit reversal object.</w:t>
      </w:r>
    </w:p>
    <w:p>
      <w:pPr>
        <w:pStyle w:val="Heading3"/>
        <w:keepNext/>
      </w:pPr>
      <w:r>
        <w:t>Superseded</w:t>
      </w:r>
    </w:p>
    <w:p>
      <w:r>
        <w:t>A later, more authoritative object replaces the prior result without erasing it.</w:t>
      </w:r>
    </w:p>
    <w:p>
      <w:pPr>
        <w:pStyle w:val="Heading1"/>
        <w:keepNext/>
      </w:pPr>
      <w:r>
        <w:t>What EP is allowed to influence</w:t>
      </w:r>
    </w:p>
    <w:p>
      <w:r>
        <w:t>Historically important infrastructure is powerful because it is bounded. EP should be explicit about what kinds of machine decisions it is appropriate to influence.</w:t>
      </w:r>
    </w:p>
    <w:tbl>
      <w:tblPr>
        <w:tblStyle w:val="TableGrid"/>
        <w:tblW w:type="auto" w:w="0"/>
        <w:jc w:val="center"/>
        <w:tblLook w:firstColumn="1" w:firstRow="1" w:lastColumn="0" w:lastRow="0" w:noHBand="0" w:noVBand="1" w:val="04A0"/>
      </w:tblPr>
      <w:tblGrid>
        <w:gridCol w:w="4968"/>
        <w:gridCol w:w="4968"/>
      </w:tblGrid>
      <w:tr>
        <w:tc>
          <w:tcPr>
            <w:tcW w:type="dxa" w:w="4968"/>
            <w:shd w:fill="E8EEF7"/>
            <w:tcMar>
              <w:top w:w="110" w:type="dxa"/>
              <w:start w:w="120" w:type="dxa"/>
              <w:bottom w:w="110" w:type="dxa"/>
              <w:end w:w="120" w:type="dxa"/>
            </w:tcMar>
          </w:tcPr>
          <w:p>
            <w:pPr>
              <w:jc w:val="center"/>
            </w:pPr>
            <w:r>
              <w:rPr>
                <w:b/>
              </w:rPr>
              <w:t>Appropriate uses</w:t>
            </w:r>
          </w:p>
        </w:tc>
        <w:tc>
          <w:tcPr>
            <w:tcW w:type="dxa" w:w="4968"/>
            <w:shd w:fill="E8EEF7"/>
            <w:tcMar>
              <w:top w:w="110" w:type="dxa"/>
              <w:start w:w="120" w:type="dxa"/>
              <w:bottom w:w="110" w:type="dxa"/>
              <w:end w:w="120" w:type="dxa"/>
            </w:tcMar>
          </w:tcPr>
          <w:p>
            <w:pPr>
              <w:jc w:val="center"/>
            </w:pPr>
            <w:r>
              <w:rPr>
                <w:b/>
              </w:rPr>
              <w:t>High-risk uses requiring stricter governance</w:t>
            </w:r>
          </w:p>
        </w:tc>
      </w:tr>
      <w:tr>
        <w:tc>
          <w:tcPr>
            <w:tcW w:type="dxa" w:w="4968"/>
            <w:tcMar>
              <w:top w:w="100" w:type="dxa"/>
              <w:start w:w="120" w:type="dxa"/>
              <w:bottom w:w="100" w:type="dxa"/>
              <w:end w:w="120" w:type="dxa"/>
            </w:tcMar>
            <w:vAlign w:val="top"/>
          </w:tcPr>
          <w:p>
            <w:pPr>
              <w:ind w:left="240" w:hanging="200"/>
            </w:pPr>
            <w:r>
              <w:rPr>
                <w:b/>
              </w:rPr>
              <w:t xml:space="preserve">• </w:t>
            </w:r>
            <w:r>
              <w:t>Routing between vendors, carriers, or service providers</w:t>
            </w:r>
          </w:p>
          <w:p>
            <w:pPr>
              <w:ind w:left="240" w:hanging="200"/>
            </w:pPr>
            <w:r>
              <w:rPr>
                <w:b/>
              </w:rPr>
              <w:t xml:space="preserve">• </w:t>
            </w:r>
            <w:r>
              <w:t>Counterparty pre-checks before transaction execution</w:t>
            </w:r>
          </w:p>
          <w:p>
            <w:pPr>
              <w:ind w:left="240" w:hanging="200"/>
            </w:pPr>
            <w:r>
              <w:rPr>
                <w:b/>
              </w:rPr>
              <w:t xml:space="preserve">• </w:t>
            </w:r>
            <w:r>
              <w:t>Escalation to manual review when confidence or anomaly thresholds are breached</w:t>
            </w:r>
          </w:p>
          <w:p>
            <w:pPr>
              <w:ind w:left="240" w:hanging="200"/>
            </w:pPr>
            <w:r>
              <w:rPr>
                <w:b/>
              </w:rPr>
              <w:t xml:space="preserve">• </w:t>
            </w:r>
            <w:r>
              <w:t>Merchant quality surfaces for human and agent-facing discovery</w:t>
            </w:r>
          </w:p>
        </w:tc>
        <w:tc>
          <w:tcPr>
            <w:tcW w:type="dxa" w:w="4968"/>
            <w:tcMar>
              <w:top w:w="100" w:type="dxa"/>
              <w:start w:w="120" w:type="dxa"/>
              <w:bottom w:w="100" w:type="dxa"/>
              <w:end w:w="120" w:type="dxa"/>
            </w:tcMar>
            <w:vAlign w:val="top"/>
          </w:tcPr>
          <w:p>
            <w:pPr>
              <w:ind w:left="240" w:hanging="200"/>
            </w:pPr>
            <w:r>
              <w:rPr>
                <w:b/>
              </w:rPr>
              <w:t xml:space="preserve">• </w:t>
            </w:r>
            <w:r>
              <w:t>Hard exclusion from marketplaces without appeal</w:t>
            </w:r>
          </w:p>
          <w:p>
            <w:pPr>
              <w:ind w:left="240" w:hanging="200"/>
            </w:pPr>
            <w:r>
              <w:rPr>
                <w:b/>
              </w:rPr>
              <w:t xml:space="preserve">• </w:t>
            </w:r>
            <w:r>
              <w:t>Invisible demotion that materially affects livelihoods</w:t>
            </w:r>
          </w:p>
          <w:p>
            <w:pPr>
              <w:ind w:left="240" w:hanging="200"/>
            </w:pPr>
            <w:r>
              <w:rPr>
                <w:b/>
              </w:rPr>
              <w:t xml:space="preserve">• </w:t>
            </w:r>
            <w:r>
              <w:t>Use in regulated credit, employment, housing, or similar domains without domain-specific safeguards</w:t>
            </w:r>
          </w:p>
          <w:p>
            <w:pPr>
              <w:ind w:left="240" w:hanging="200"/>
            </w:pPr>
            <w:r>
              <w:rPr>
                <w:b/>
              </w:rPr>
              <w:t xml:space="preserve">• </w:t>
            </w:r>
            <w:r>
              <w:t>Irreversible automated enforcement</w:t>
            </w:r>
          </w:p>
        </w:tc>
      </w:tr>
    </w:tbl>
    <w:p/>
    <w:p>
      <w:pPr>
        <w:pStyle w:val="Heading1"/>
        <w:keepNext/>
      </w:pPr>
      <w:r>
        <w:t>Governance path</w:t>
      </w:r>
    </w:p>
    <w:p>
      <w:r>
        <w:t>To become foundational, EP needs more than source code. It needs neutral governance, a conformance suite, independent implementations, deterministic fixtures, and a versioning discipline that lets multiple organizations rely on the protocol without relying on a single vendor.</w:t>
      </w:r>
    </w:p>
    <w:p>
      <w:r>
        <w:t>The sequence should be: stabilize the object model; publish a strict RFC; release canonical fixtures; build at least one independent implementation; then move toward a neutral home and working-group process.</w:t>
      </w:r>
    </w:p>
    <w:p>
      <w:pPr>
        <w:pStyle w:val="Heading1"/>
        <w:keepNext/>
      </w:pPr>
      <w:r>
        <w:t>Deliberate build order for the next 12 months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CE6F1"/>
            <w:tcMar>
              <w:top w:w="105" w:type="dxa"/>
              <w:start w:w="115" w:type="dxa"/>
              <w:bottom w:w="105" w:type="dxa"/>
              <w:end w:w="115" w:type="dxa"/>
            </w:tcMar>
          </w:tcPr>
          <w:p>
            <w:pPr>
              <w:jc w:val="center"/>
            </w:pPr>
            <w:r>
              <w:rPr>
                <w:b/>
              </w:rPr>
              <w:t>Phase</w:t>
            </w:r>
          </w:p>
        </w:tc>
        <w:tc>
          <w:tcPr>
            <w:tcW w:type="dxa" w:w="3312"/>
            <w:shd w:fill="DCE6F1"/>
            <w:tcMar>
              <w:top w:w="105" w:type="dxa"/>
              <w:start w:w="115" w:type="dxa"/>
              <w:bottom w:w="105" w:type="dxa"/>
              <w:end w:w="115" w:type="dxa"/>
            </w:tcMar>
          </w:tcPr>
          <w:p>
            <w:pPr>
              <w:jc w:val="center"/>
            </w:pPr>
            <w:r>
              <w:rPr>
                <w:b/>
              </w:rPr>
              <w:t>Primary outcome</w:t>
            </w:r>
          </w:p>
        </w:tc>
        <w:tc>
          <w:tcPr>
            <w:tcW w:type="dxa" w:w="3312"/>
            <w:shd w:fill="DCE6F1"/>
            <w:tcMar>
              <w:top w:w="105" w:type="dxa"/>
              <w:start w:w="115" w:type="dxa"/>
              <w:bottom w:w="105" w:type="dxa"/>
              <w:end w:w="115" w:type="dxa"/>
            </w:tcMar>
          </w:tcPr>
          <w:p>
            <w:pPr>
              <w:jc w:val="center"/>
            </w:pPr>
            <w:r>
              <w:rPr>
                <w:b/>
              </w:rPr>
              <w:t>Ship criteria</w:t>
            </w:r>
          </w:p>
        </w:tc>
      </w:tr>
      <w:tr>
        <w:tc>
          <w:tcPr>
            <w:tcW w:type="dxa" w:w="3312"/>
            <w:tcMar>
              <w:top w:w="90" w:type="dxa"/>
              <w:start w:w="110" w:type="dxa"/>
              <w:bottom w:w="90" w:type="dxa"/>
              <w:end w:w="110" w:type="dxa"/>
            </w:tcMar>
            <w:vAlign w:val="center"/>
          </w:tcPr>
          <w:p>
            <w:pPr>
              <w:jc w:val="left"/>
            </w:pPr>
            <w:r>
              <w:rPr>
                <w:sz w:val="20"/>
              </w:rPr>
              <w:t>Phase I - Constitutional cleanup</w:t>
            </w:r>
          </w:p>
        </w:tc>
        <w:tc>
          <w:tcPr>
            <w:tcW w:type="dxa" w:w="3312"/>
            <w:tcMar>
              <w:top w:w="90" w:type="dxa"/>
              <w:start w:w="110" w:type="dxa"/>
              <w:bottom w:w="90" w:type="dxa"/>
              <w:end w:w="110" w:type="dxa"/>
            </w:tcMar>
            <w:vAlign w:val="center"/>
          </w:tcPr>
          <w:p>
            <w:pPr>
              <w:jc w:val="left"/>
            </w:pPr>
            <w:r>
              <w:rPr>
                <w:sz w:val="20"/>
              </w:rPr>
              <w:t>One canonical object model and one canonical story.</w:t>
            </w:r>
          </w:p>
        </w:tc>
        <w:tc>
          <w:tcPr>
            <w:tcW w:type="dxa" w:w="3312"/>
            <w:tcMar>
              <w:top w:w="90" w:type="dxa"/>
              <w:start w:w="110" w:type="dxa"/>
              <w:bottom w:w="90" w:type="dxa"/>
              <w:end w:w="110" w:type="dxa"/>
            </w:tcMar>
            <w:vAlign w:val="center"/>
          </w:tcPr>
          <w:p>
            <w:pPr>
              <w:jc w:val="left"/>
            </w:pPr>
            <w:r>
              <w:rPr>
                <w:sz w:val="20"/>
              </w:rPr>
              <w:t>Current vs historical semantics unified; profile route canonical; deprecated score-first surfaces retired.</w:t>
            </w:r>
          </w:p>
        </w:tc>
      </w:tr>
      <w:tr>
        <w:tc>
          <w:tcPr>
            <w:tcW w:type="dxa" w:w="3312"/>
            <w:tcMar>
              <w:top w:w="90" w:type="dxa"/>
              <w:start w:w="110" w:type="dxa"/>
              <w:bottom w:w="90" w:type="dxa"/>
              <w:end w:w="110" w:type="dxa"/>
            </w:tcMar>
            <w:vAlign w:val="center"/>
          </w:tcPr>
          <w:p>
            <w:pPr>
              <w:jc w:val="left"/>
            </w:pPr>
            <w:r>
              <w:rPr>
                <w:sz w:val="20"/>
              </w:rPr>
              <w:t>Phase II - Context and relationship trust</w:t>
            </w:r>
          </w:p>
        </w:tc>
        <w:tc>
          <w:tcPr>
            <w:tcW w:type="dxa" w:w="3312"/>
            <w:tcMar>
              <w:top w:w="90" w:type="dxa"/>
              <w:start w:w="110" w:type="dxa"/>
              <w:bottom w:w="90" w:type="dxa"/>
              <w:end w:w="110" w:type="dxa"/>
            </w:tcMar>
            <w:vAlign w:val="center"/>
          </w:tcPr>
          <w:p>
            <w:pPr>
              <w:jc w:val="left"/>
            </w:pPr>
            <w:r>
              <w:rPr>
                <w:sz w:val="20"/>
              </w:rPr>
              <w:t>Trust becomes task- and counterparty-aware.</w:t>
            </w:r>
          </w:p>
        </w:tc>
        <w:tc>
          <w:tcPr>
            <w:tcW w:type="dxa" w:w="3312"/>
            <w:tcMar>
              <w:top w:w="90" w:type="dxa"/>
              <w:start w:w="110" w:type="dxa"/>
              <w:bottom w:w="90" w:type="dxa"/>
              <w:end w:w="110" w:type="dxa"/>
            </w:tcMar>
            <w:vAlign w:val="center"/>
          </w:tcPr>
          <w:p>
            <w:pPr>
              <w:jc w:val="left"/>
            </w:pPr>
            <w:r>
              <w:rPr>
                <w:sz w:val="20"/>
              </w:rPr>
              <w:t>Context Key schema, relationship endpoint, hierarchical fallback, policy consumption by context.</w:t>
            </w:r>
          </w:p>
        </w:tc>
      </w:tr>
      <w:tr>
        <w:tc>
          <w:tcPr>
            <w:tcW w:type="dxa" w:w="3312"/>
            <w:tcMar>
              <w:top w:w="90" w:type="dxa"/>
              <w:start w:w="110" w:type="dxa"/>
              <w:bottom w:w="90" w:type="dxa"/>
              <w:end w:w="110" w:type="dxa"/>
            </w:tcMar>
            <w:vAlign w:val="center"/>
          </w:tcPr>
          <w:p>
            <w:pPr>
              <w:jc w:val="left"/>
            </w:pPr>
            <w:r>
              <w:rPr>
                <w:sz w:val="20"/>
              </w:rPr>
              <w:t>Phase III - Provenance and bilateral truth</w:t>
            </w:r>
          </w:p>
        </w:tc>
        <w:tc>
          <w:tcPr>
            <w:tcW w:type="dxa" w:w="3312"/>
            <w:tcMar>
              <w:top w:w="90" w:type="dxa"/>
              <w:start w:w="110" w:type="dxa"/>
              <w:bottom w:w="90" w:type="dxa"/>
              <w:end w:w="110" w:type="dxa"/>
            </w:tcMar>
            <w:vAlign w:val="center"/>
          </w:tcPr>
          <w:p>
            <w:pPr>
              <w:jc w:val="left"/>
            </w:pPr>
            <w:r>
              <w:rPr>
                <w:sz w:val="20"/>
              </w:rPr>
              <w:t>Trust states become materially harder to fake.</w:t>
            </w:r>
          </w:p>
        </w:tc>
        <w:tc>
          <w:tcPr>
            <w:tcW w:type="dxa" w:w="3312"/>
            <w:tcMar>
              <w:top w:w="90" w:type="dxa"/>
              <w:start w:w="110" w:type="dxa"/>
              <w:bottom w:w="90" w:type="dxa"/>
              <w:end w:w="110" w:type="dxa"/>
            </w:tcMar>
            <w:vAlign w:val="center"/>
          </w:tcPr>
          <w:p>
            <w:pPr>
              <w:jc w:val="left"/>
            </w:pPr>
            <w:r>
              <w:rPr>
                <w:sz w:val="20"/>
              </w:rPr>
              <w:t>Provenance tiers live, bilateral receipts implemented, platform and processor evidence adapters.</w:t>
            </w:r>
          </w:p>
        </w:tc>
      </w:tr>
      <w:tr>
        <w:tc>
          <w:tcPr>
            <w:tcW w:type="dxa" w:w="3312"/>
            <w:tcMar>
              <w:top w:w="90" w:type="dxa"/>
              <w:start w:w="110" w:type="dxa"/>
              <w:bottom w:w="90" w:type="dxa"/>
              <w:end w:w="110" w:type="dxa"/>
            </w:tcMar>
            <w:vAlign w:val="center"/>
          </w:tcPr>
          <w:p>
            <w:pPr>
              <w:jc w:val="left"/>
            </w:pPr>
            <w:r>
              <w:rPr>
                <w:sz w:val="20"/>
              </w:rPr>
              <w:t>Phase IV - Due process</w:t>
            </w:r>
          </w:p>
        </w:tc>
        <w:tc>
          <w:tcPr>
            <w:tcW w:type="dxa" w:w="3312"/>
            <w:tcMar>
              <w:top w:w="90" w:type="dxa"/>
              <w:start w:w="110" w:type="dxa"/>
              <w:bottom w:w="90" w:type="dxa"/>
              <w:end w:w="110" w:type="dxa"/>
            </w:tcMar>
            <w:vAlign w:val="center"/>
          </w:tcPr>
          <w:p>
            <w:pPr>
              <w:jc w:val="left"/>
            </w:pPr>
            <w:r>
              <w:rPr>
                <w:sz w:val="20"/>
              </w:rPr>
              <w:t>EP becomes safe to rely on at higher stakes.</w:t>
            </w:r>
          </w:p>
        </w:tc>
        <w:tc>
          <w:tcPr>
            <w:tcW w:type="dxa" w:w="3312"/>
            <w:tcMar>
              <w:top w:w="90" w:type="dxa"/>
              <w:start w:w="110" w:type="dxa"/>
              <w:bottom w:w="90" w:type="dxa"/>
              <w:end w:w="110" w:type="dxa"/>
            </w:tcMar>
            <w:vAlign w:val="center"/>
          </w:tcPr>
          <w:p>
            <w:pPr>
              <w:jc w:val="left"/>
            </w:pPr>
            <w:r>
              <w:rPr>
                <w:sz w:val="20"/>
              </w:rPr>
              <w:t>Challenge lifecycle, resolution objects, supersession rules, explanation surfaces.</w:t>
            </w:r>
          </w:p>
        </w:tc>
      </w:tr>
      <w:tr>
        <w:tc>
          <w:tcPr>
            <w:tcW w:type="dxa" w:w="3312"/>
            <w:tcMar>
              <w:top w:w="90" w:type="dxa"/>
              <w:start w:w="110" w:type="dxa"/>
              <w:bottom w:w="90" w:type="dxa"/>
              <w:end w:w="110" w:type="dxa"/>
            </w:tcMar>
            <w:vAlign w:val="center"/>
          </w:tcPr>
          <w:p>
            <w:pPr>
              <w:jc w:val="left"/>
            </w:pPr>
            <w:r>
              <w:rPr>
                <w:sz w:val="20"/>
              </w:rPr>
              <w:t>Phase V - Protocolization</w:t>
            </w:r>
          </w:p>
        </w:tc>
        <w:tc>
          <w:tcPr>
            <w:tcW w:type="dxa" w:w="3312"/>
            <w:tcMar>
              <w:top w:w="90" w:type="dxa"/>
              <w:start w:w="110" w:type="dxa"/>
              <w:bottom w:w="90" w:type="dxa"/>
              <w:end w:w="110" w:type="dxa"/>
            </w:tcMar>
            <w:vAlign w:val="center"/>
          </w:tcPr>
          <w:p>
            <w:pPr>
              <w:jc w:val="left"/>
            </w:pPr>
            <w:r>
              <w:rPr>
                <w:sz w:val="20"/>
              </w:rPr>
              <w:t>EP becomes implementable by outsiders.</w:t>
            </w:r>
          </w:p>
        </w:tc>
        <w:tc>
          <w:tcPr>
            <w:tcW w:type="dxa" w:w="3312"/>
            <w:tcMar>
              <w:top w:w="90" w:type="dxa"/>
              <w:start w:w="110" w:type="dxa"/>
              <w:bottom w:w="90" w:type="dxa"/>
              <w:end w:w="110" w:type="dxa"/>
            </w:tcMar>
            <w:vAlign w:val="center"/>
          </w:tcPr>
          <w:p>
            <w:pPr>
              <w:jc w:val="left"/>
            </w:pPr>
            <w:r>
              <w:rPr>
                <w:sz w:val="20"/>
              </w:rPr>
              <w:t>Conformance tests, fixtures, independent implementation, governance proposal.</w:t>
            </w:r>
          </w:p>
        </w:tc>
      </w:tr>
    </w:tbl>
    <w:p/>
    <w:p>
      <w:pPr>
        <w:pStyle w:val="Heading1"/>
        <w:keepNext/>
      </w:pPr>
      <w:r>
        <w:t>Final doctrine</w:t>
      </w:r>
    </w:p>
    <w:p>
      <w:r>
        <w:t>EP should become the procedural law of machine trust: a system that lets many agents, merchants, platforms, and operators make trust decisions with evidence, context, explanation, portability, and appeal.</w:t>
      </w:r>
    </w:p>
    <w:p>
      <w:r>
        <w:t>The ambition should therefore be larger than ‘best scoring protocol.’ The correct ambition is to define the portable rules by which machine systems are allowed to trust, doubt, escalate, and recover.</w:t>
      </w:r>
    </w:p>
    <w:p>
      <w:r>
        <w:t>If EP does that well, it will not merely be useful. It will be worthy.</w:t>
      </w:r>
    </w:p>
    <w:tbl>
      <w:tblPr>
        <w:tblW w:type="auto" w:w="0"/>
        <w:jc w:val="center"/>
        <w:tblLook w:firstColumn="1" w:firstRow="1" w:lastColumn="0" w:lastRow="0" w:noHBand="0" w:noVBand="1" w:val="04A0"/>
      </w:tblPr>
      <w:tblGrid>
        <w:gridCol w:w="9936"/>
      </w:tblGrid>
      <w:tr>
        <w:tc>
          <w:tcPr>
            <w:tcW w:type="dxa" w:w="9936"/>
            <w:shd w:fill="F4F7FB"/>
            <w:tcMar>
              <w:top w:w="140" w:type="dxa"/>
              <w:start w:w="170" w:type="dxa"/>
              <w:bottom w:w="140" w:type="dxa"/>
              <w:end w:w="170" w:type="dxa"/>
            </w:tcMar>
          </w:tcPr>
          <w:p>
            <w:r>
              <w:rPr>
                <w:b/>
                <w:color w:val="1F3A5F"/>
              </w:rPr>
              <w:t>Founding sentence</w:t>
            </w:r>
          </w:p>
          <w:p>
            <w:r>
              <w:rPr>
                <w:b/>
                <w:color w:val="0F172A"/>
              </w:rPr>
              <w:t>EP must never make trust more powerful than appeal, and must never let convenience outrank provenance.</w:t>
            </w:r>
          </w:p>
        </w:tc>
      </w:tr>
    </w:tbl>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8"/>
      </w:rPr>
      <w:t xml:space="preserve">EP Constitution and V4 Architecture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w:hAnsi="Aptos" w:eastAsia="Aptos"/>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eastAsia="Aptos"/>
      <w:b/>
      <w:bCs/>
      <w:color w:val="274C7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274C7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B67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