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e5fa3e6e2c1e081d3734e129388d583255f014"/>
    <w:p>
      <w:pPr>
        <w:pStyle w:val="Heading1"/>
      </w:pPr>
      <w:r>
        <w:t xml:space="preserve">AWS Open Source Grant Application — EMILIA Protocol</w:t>
      </w:r>
    </w:p>
    <w:p>
      <w:pPr>
        <w:pStyle w:val="FirstParagraph"/>
      </w:pPr>
      <w:r>
        <w:rPr>
          <w:b/>
          <w:bCs/>
        </w:rPr>
        <w:t xml:space="preserve">Program:</w:t>
      </w:r>
      <w:r>
        <w:t xml:space="preserve"> </w:t>
      </w:r>
      <w:r>
        <w:t xml:space="preserve">AWS Open Source Fund / AWS AI &amp; ML Research Grants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2026</w:t>
      </w:r>
      <w:r>
        <w:br/>
      </w:r>
      <w:r>
        <w:rPr>
          <w:b/>
          <w:bCs/>
        </w:rPr>
        <w:t xml:space="preserve">Applicant:</w:t>
      </w:r>
      <w:r>
        <w:t xml:space="preserve"> </w:t>
      </w:r>
      <w:r>
        <w:t xml:space="preserve">Iman Schrock, Protocol Author &amp; CEO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EMILIA Protocol (EP)</w:t>
      </w:r>
      <w:r>
        <w:br/>
      </w:r>
      <w:r>
        <w:rPr>
          <w:b/>
          <w:bCs/>
        </w:rPr>
        <w:t xml:space="preserve">License:</w:t>
      </w:r>
      <w:r>
        <w:t xml:space="preserve"> </w:t>
      </w:r>
      <w:r>
        <w:t xml:space="preserve">Apache 2.0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github.com/emilia-protocol</w:t>
      </w:r>
    </w:p>
    <w:p>
      <w:r>
        <w:pict>
          <v:rect style="width:0;height:1.5pt" o:hralign="center" o:hrstd="t" o:hr="t"/>
        </w:pict>
      </w:r>
    </w:p>
    <w:bookmarkStart w:id="9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EMILIA Protocol: An Open Standard for Verifiable Pre-Action Authorization in AI Systems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EMILIA Protocol (EP) is an open-source trust enforcement protocol for AI agent systems. It provides cryptographically verifiable, policy-bound, pre-action authorization — ensuring that every consequential AI action has a tamper-evident record of who authorized it, under what policy, and with what evidence.</w:t>
      </w:r>
    </w:p>
    <w:p>
      <w:pPr>
        <w:pStyle w:val="BodyText"/>
      </w:pPr>
      <w:r>
        <w:t xml:space="preserve">EP is the missing governance layer between model capability and action execution. As AI systems move from recommendation to autonomous execution across government, financial, and enterprise workflows, the need for a standardized, verifiable authorization protocol becomes critical.</w:t>
      </w:r>
    </w:p>
    <w:p>
      <w:pPr>
        <w:pStyle w:val="BodyText"/>
      </w:pPr>
      <w:r>
        <w:t xml:space="preserve">We seek AWS funding to:</w:t>
      </w:r>
      <w:r>
        <w:t xml:space="preserve"> </w:t>
      </w:r>
      <w:r>
        <w:t xml:space="preserve">1. Build a</w:t>
      </w:r>
      <w:r>
        <w:t xml:space="preserve"> </w:t>
      </w:r>
      <w:r>
        <w:rPr>
          <w:b/>
          <w:bCs/>
        </w:rPr>
        <w:t xml:space="preserve">standalone verification library</w:t>
      </w:r>
      <w:r>
        <w:t xml:space="preserve"> </w:t>
      </w:r>
      <w:r>
        <w:t xml:space="preserve">enabling offline, infrastructure-free receipt verification</w:t>
      </w:r>
      <w:r>
        <w:t xml:space="preserve"> </w:t>
      </w:r>
      <w:r>
        <w:t xml:space="preserve">2. Develop</w:t>
      </w:r>
      <w:r>
        <w:t xml:space="preserve"> </w:t>
      </w:r>
      <w:r>
        <w:rPr>
          <w:b/>
          <w:bCs/>
        </w:rPr>
        <w:t xml:space="preserve">federation infrastructure</w:t>
      </w:r>
      <w:r>
        <w:t xml:space="preserve"> </w:t>
      </w:r>
      <w:r>
        <w:t xml:space="preserve">allowing multiple independent operators to cross-verify trust evidence</w:t>
      </w:r>
      <w:r>
        <w:t xml:space="preserve"> </w:t>
      </w:r>
      <w:r>
        <w:t xml:space="preserve">3. Complete</w:t>
      </w:r>
      <w:r>
        <w:t xml:space="preserve"> </w:t>
      </w:r>
      <w:r>
        <w:rPr>
          <w:b/>
          <w:bCs/>
        </w:rPr>
        <w:t xml:space="preserve">compliance certification</w:t>
      </w:r>
      <w:r>
        <w:t xml:space="preserve"> </w:t>
      </w:r>
      <w:r>
        <w:t xml:space="preserve">(SOC 2 Type II) and formal compliance mappings (NIST AI RMF, EU AI Act)</w:t>
      </w:r>
      <w:r>
        <w:t xml:space="preserve"> </w:t>
      </w:r>
      <w:r>
        <w:t xml:space="preserve">4. Create an</w:t>
      </w:r>
      <w:r>
        <w:t xml:space="preserve"> </w:t>
      </w:r>
      <w:r>
        <w:rPr>
          <w:b/>
          <w:bCs/>
        </w:rPr>
        <w:t xml:space="preserve">LLM trust evaluation benchmark</w:t>
      </w:r>
      <w:r>
        <w:t xml:space="preserve"> </w:t>
      </w:r>
      <w:r>
        <w:t xml:space="preserve">(EP Eval) for measuring model trust-reasoning capability</w:t>
      </w:r>
    </w:p>
    <w:p>
      <w:r>
        <w:pict>
          <v:rect style="width:0;height:1.5pt" o:hralign="center" o:hrstd="t" o:hr="t"/>
        </w:pict>
      </w:r>
    </w:p>
    <w:bookmarkEnd w:id="10"/>
    <w:bookmarkStart w:id="11" w:name="problem-statement"/>
    <w:p>
      <w:pPr>
        <w:pStyle w:val="Heading2"/>
      </w:pPr>
      <w:r>
        <w:t xml:space="preserve">Problem Statement</w:t>
      </w:r>
    </w:p>
    <w:p>
      <w:pPr>
        <w:pStyle w:val="FirstParagraph"/>
      </w:pPr>
      <w:r>
        <w:t xml:space="preserve">AI agents are now executing consequential real-world actions: deploying code, transferring funds, modifying infrastructure, making medical recommendations, and acting in government workflows. The governance question is no longer</w:t>
      </w:r>
      <w:r>
        <w:t xml:space="preserve"> </w:t>
      </w:r>
      <w:r>
        <w:t xml:space="preserve">“is this model accurate?”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“did this AI have authorization to take this action?”</w:t>
      </w:r>
    </w:p>
    <w:p>
      <w:pPr>
        <w:pStyle w:val="BodyText"/>
      </w:pPr>
      <w:r>
        <w:t xml:space="preserve">Current approaches fail because: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Proprietary audit systems</w:t>
      </w:r>
      <w:r>
        <w:t xml:space="preserve"> </w:t>
      </w:r>
      <w:r>
        <w:t xml:space="preserve">are fragmented, non-interoperable, and unverifiable by third parties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Reputation systems</w:t>
      </w:r>
      <w:r>
        <w:t xml:space="preserve"> </w:t>
      </w:r>
      <w:r>
        <w:t xml:space="preserve">produce opaque scores without cryptographic verifiability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Access control systems</w:t>
      </w:r>
      <w:r>
        <w:t xml:space="preserve"> </w:t>
      </w:r>
      <w:r>
        <w:t xml:space="preserve">(RBAC, ABAC) weren’t designed for AI-agent-to-AI-agent trust decisions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existing protocol</w:t>
      </w:r>
      <w:r>
        <w:t xml:space="preserve"> </w:t>
      </w:r>
      <w:r>
        <w:t xml:space="preserve">provides self-verifying, portable, privacy-preserving trust evidence</w:t>
      </w:r>
    </w:p>
    <w:p>
      <w:pPr>
        <w:pStyle w:val="BodyText"/>
      </w:pPr>
      <w:r>
        <w:t xml:space="preserve">The risk is real and immediate: without a standardized authorization protocol, the first catastrophic unauthorized AI action will trigger fragmented, incompatible regulatory responses that harm the entire AI ecosystem.</w:t>
      </w:r>
    </w:p>
    <w:p>
      <w:r>
        <w:pict>
          <v:rect style="width:0;height:1.5pt" o:hralign="center" o:hrstd="t" o:hr="t"/>
        </w:pict>
      </w:r>
    </w:p>
    <w:bookmarkEnd w:id="11"/>
    <w:bookmarkStart w:id="13" w:name="solution-emilia-protocol"/>
    <w:p>
      <w:pPr>
        <w:pStyle w:val="Heading2"/>
      </w:pPr>
      <w:r>
        <w:t xml:space="preserve">Solution: EMILIA Protocol</w:t>
      </w:r>
    </w:p>
    <w:p>
      <w:pPr>
        <w:pStyle w:val="FirstParagraph"/>
      </w:pPr>
      <w:r>
        <w:t xml:space="preserve">EP provides four composable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731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Innovation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</w:t>
            </w:r>
          </w:p>
        </w:tc>
        <w:tc>
          <w:tcPr/>
          <w:p>
            <w:pPr>
              <w:pStyle w:val="Compact"/>
            </w:pPr>
            <w:r>
              <w:t xml:space="preserve">Observes risk patterns (OBSERVE→SHADOW→ENFORCE)</w:t>
            </w:r>
          </w:p>
        </w:tc>
        <w:tc>
          <w:tcPr/>
          <w:p>
            <w:pPr>
              <w:pStyle w:val="Compact"/>
            </w:pPr>
            <w:r>
              <w:t xml:space="preserve">Graduated enforcement without binary on/off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Handshake</w:t>
            </w:r>
          </w:p>
        </w:tc>
        <w:tc>
          <w:tcPr/>
          <w:p>
            <w:pPr>
              <w:pStyle w:val="Compact"/>
            </w:pPr>
            <w:r>
              <w:t xml:space="preserve">Pre-action authorization ceremony</w:t>
            </w:r>
          </w:p>
        </w:tc>
        <w:tc>
          <w:tcPr/>
          <w:p>
            <w:pPr>
              <w:pStyle w:val="Compact"/>
            </w:pPr>
            <w:r>
              <w:t xml:space="preserve">7-property cryptographic binding, replay-resistant, one-time consumption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Signoff</w:t>
            </w:r>
          </w:p>
        </w:tc>
        <w:tc>
          <w:tcPr/>
          <w:p>
            <w:pPr>
              <w:pStyle w:val="Compact"/>
            </w:pPr>
            <w:r>
              <w:t xml:space="preserve">Named human accountability</w:t>
            </w:r>
          </w:p>
        </w:tc>
        <w:tc>
          <w:tcPr/>
          <w:p>
            <w:pPr>
              <w:pStyle w:val="Compact"/>
            </w:pPr>
            <w:r>
              <w:t xml:space="preserve">Specific principal (not role) assumes irrevocable ownership of 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Atomic action seal</w:t>
            </w:r>
          </w:p>
        </w:tc>
        <w:tc>
          <w:tcPr/>
          <w:p>
            <w:pPr>
              <w:pStyle w:val="Compact"/>
            </w:pPr>
            <w:r>
              <w:t xml:space="preserve">Immutable, hash-linked, blockchain-anchored. No partial states.</w:t>
            </w:r>
          </w:p>
        </w:tc>
      </w:tr>
    </w:tbl>
    <w:bookmarkStart w:id="12" w:name="key-technical-innovations"/>
    <w:p>
      <w:pPr>
        <w:pStyle w:val="Heading3"/>
      </w:pPr>
      <w:r>
        <w:t xml:space="preserve">Key Technical Innovations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Self-verifying trust receipts:</w:t>
      </w:r>
      <w:r>
        <w:t xml:space="preserve"> </w:t>
      </w:r>
      <w:r>
        <w:t xml:space="preserve">EP-RECEIPT-v1 documents are Ed25519-signed, Merkle-anchored, and verifiable without any EP infrastructure — like Bitcoin transactions.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Privacy-preserving trust proofs:</w:t>
      </w:r>
      <w:r>
        <w:t xml:space="preserve"> </w:t>
      </w:r>
      <w:r>
        <w:t xml:space="preserve">Entities can prove</w:t>
      </w:r>
      <w:r>
        <w:t xml:space="preserve"> </w:t>
      </w:r>
      <w:r>
        <w:t xml:space="preserve">“my trust score exceeds threshold X in domain Y”</w:t>
      </w:r>
      <w:r>
        <w:t xml:space="preserve"> </w:t>
      </w:r>
      <w:r>
        <w:t xml:space="preserve">without revealing their receipts, counterparties, or interaction history (HMAC-SHA256 commitment scheme).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Formal verification:</w:t>
      </w:r>
      <w:r>
        <w:t xml:space="preserve"> </w:t>
      </w:r>
      <w:r>
        <w:t xml:space="preserve">20 TLA+ safety properties verified (T1–T20, TLC 2.19, 7,857 states, 0 errors); 6 additional EP-IX properties (T21–T26) specified, model run pending. 32 Alloy relational facts + 15 assertions verified. All run in CI.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Federation architecture:</w:t>
      </w:r>
      <w:r>
        <w:t xml:space="preserve"> </w:t>
      </w:r>
      <w:r>
        <w:t xml:space="preserve">Multiple independent operators issue and cross-verify receipts via shared cryptographic proofs. No single point of failure. No central authority.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06c58831f0f1d3da2b036f01d820aa222940807"/>
    <w:p>
      <w:pPr>
        <w:pStyle w:val="Heading2"/>
      </w:pPr>
      <w:r>
        <w:t xml:space="preserve">Productized Surfaces: EP GovGuard + EP FinGuard</w:t>
      </w:r>
    </w:p>
    <w:p>
      <w:pPr>
        <w:pStyle w:val="FirstParagraph"/>
      </w:pPr>
      <w:r>
        <w:t xml:space="preserve">EMILIA Protocol is the open standard. EP GovGuard and EP FinGuard are the</w:t>
      </w:r>
      <w:r>
        <w:t xml:space="preserve"> </w:t>
      </w:r>
      <w:r>
        <w:t xml:space="preserve">productized surfaces — the same v1 trust-receipts API pre-filled for two</w:t>
      </w:r>
      <w:r>
        <w:t xml:space="preserve"> </w:t>
      </w:r>
      <w:r>
        <w:t xml:space="preserve">high-leverage pilot domains: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 GovGuard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/govguard</w:t>
        </w:r>
      </w:hyperlink>
      <w:r>
        <w:t xml:space="preserve">) — pre-execution control for government benefit/payment changes.</w:t>
      </w:r>
      <w:r>
        <w:t xml:space="preserve"> </w:t>
      </w:r>
      <w:r>
        <w:t xml:space="preserve">Domain adapters: benefit-bank-account changes, caseworker overrides.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EP FinGuard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/finguard</w:t>
        </w:r>
      </w:hyperlink>
      <w:r>
        <w:t xml:space="preserve">) — pre-execution trust for treasury &amp; payment ops.</w:t>
      </w:r>
      <w:r>
        <w:t xml:space="preserve"> </w:t>
      </w:r>
      <w:r>
        <w:t xml:space="preserve">Domain adapters: vendor-bank-change, beneficiary creation, large payment release, AI-agent-initiated payment actions.</w:t>
      </w:r>
    </w:p>
    <w:p>
      <w:pPr>
        <w:pStyle w:val="FirstParagraph"/>
      </w:pPr>
      <w:r>
        <w:t xml:space="preserve">Both share a single API surface: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/api/v1/trust-receipts</w:t>
            </w:r>
          </w:p>
        </w:tc>
        <w:tc>
          <w:tcPr/>
          <w:p>
            <w:pPr>
              <w:pStyle w:val="Compact"/>
            </w:pPr>
            <w:r>
              <w:t xml:space="preserve">Create receipt (precheck + policy eval + audit emit)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/api/v1/trust-receipts/{id}</w:t>
            </w:r>
          </w:p>
        </w:tc>
        <w:tc>
          <w:tcPr/>
          <w:p>
            <w:pPr>
              <w:pStyle w:val="Compact"/>
            </w:pPr>
            <w:r>
              <w:t xml:space="preserve">Read receipt state (replays event 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/api/v1/trust-receipts/{id}/consume</w:t>
            </w:r>
          </w:p>
        </w:tc>
        <w:tc>
          <w:tcPr/>
          <w:p>
            <w:pPr>
              <w:pStyle w:val="Compact"/>
            </w:pPr>
            <w:r>
              <w:t xml:space="preserve">One-time consume bound to action_hash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/api/v1/trust-receipts/{id}/evidence</w:t>
            </w:r>
          </w:p>
        </w:tc>
        <w:tc>
          <w:tcPr/>
          <w:p>
            <w:pPr>
              <w:pStyle w:val="Compact"/>
            </w:pPr>
            <w:r>
              <w:t xml:space="preserve">Full evidence packet (timeline, signoff trail, consume record)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/api/v1/signoffs/request</w:t>
            </w:r>
          </w:p>
        </w:tc>
        <w:tc>
          <w:tcPr/>
          <w:p>
            <w:pPr>
              <w:pStyle w:val="Compact"/>
            </w:pPr>
            <w:r>
              <w:t xml:space="preserve">Open a signoff request against a pending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/api/v1/signoffs/{id}/approve</w:t>
            </w:r>
          </w:p>
        </w:tc>
        <w:tc>
          <w:tcPr/>
          <w:p>
            <w:pPr>
              <w:pStyle w:val="Compact"/>
            </w:pPr>
            <w:r>
              <w:t xml:space="preserve">Approver acts (self-approval forbidden, action_hash bound)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/api/v1/signoffs/{id}/reject</w:t>
            </w:r>
          </w:p>
        </w:tc>
        <w:tc>
          <w:tcPr/>
          <w:p>
            <w:pPr>
              <w:pStyle w:val="Compact"/>
            </w:pPr>
            <w:r>
              <w:t xml:space="preserve">Approver rejects</w:t>
            </w:r>
          </w:p>
        </w:tc>
      </w:tr>
    </w:tbl>
    <w:p>
      <w:pPr>
        <w:pStyle w:val="BodyText"/>
      </w:pPr>
      <w:r>
        <w:t xml:space="preserve">Three enforcement modes (per-organization, per-action-type):</w:t>
      </w:r>
      <w:r>
        <w:t xml:space="preserve"> </w:t>
      </w:r>
      <w:r>
        <w:rPr>
          <w:b/>
          <w:bCs/>
        </w:rPr>
        <w:t xml:space="preserve">observe</w:t>
      </w:r>
      <w:r>
        <w:t xml:space="preserve"> </w:t>
      </w:r>
      <w:r>
        <w:t xml:space="preserve">(log</w:t>
      </w:r>
      <w:r>
        <w:t xml:space="preserve"> </w:t>
      </w:r>
      <w:r>
        <w:t xml:space="preserve">only, never block — the audit-only rollout posture),</w:t>
      </w:r>
      <w:r>
        <w:t xml:space="preserve"> </w:t>
      </w:r>
      <w:r>
        <w:rPr>
          <w:b/>
          <w:bCs/>
        </w:rPr>
        <w:t xml:space="preserve">warn</w:t>
      </w:r>
      <w:r>
        <w:t xml:space="preserve"> </w:t>
      </w:r>
      <w:r>
        <w:t xml:space="preserve">(return decision,</w:t>
      </w:r>
      <w:r>
        <w:t xml:space="preserve"> </w:t>
      </w:r>
      <w:r>
        <w:t xml:space="preserve">let caller decide),</w:t>
      </w:r>
      <w:r>
        <w:t xml:space="preserve"> </w:t>
      </w:r>
      <w:r>
        <w:rPr>
          <w:b/>
          <w:bCs/>
        </w:rPr>
        <w:t xml:space="preserve">enforce</w:t>
      </w:r>
      <w:r>
        <w:t xml:space="preserve"> </w:t>
      </w:r>
      <w:r>
        <w:t xml:space="preserve">(fail closed). Pilots typically start in observe</w:t>
      </w:r>
      <w:r>
        <w:t xml:space="preserve"> </w:t>
      </w:r>
      <w:r>
        <w:t xml:space="preserve">for 2–4 weeks to generate the</w:t>
      </w:r>
      <w:r>
        <w:t xml:space="preserve"> </w:t>
      </w:r>
      <w:r>
        <w:t xml:space="preserve">“what would have been blocked”</w:t>
      </w:r>
      <w:r>
        <w:t xml:space="preserve"> </w:t>
      </w:r>
      <w:r>
        <w:t xml:space="preserve">report, then</w:t>
      </w:r>
      <w:r>
        <w:t xml:space="preserve"> </w:t>
      </w:r>
      <w:r>
        <w:t xml:space="preserve">flip to enforce once the agency or institution is comfortable with the</w:t>
      </w:r>
      <w:r>
        <w:t xml:space="preserve"> </w:t>
      </w:r>
      <w:r>
        <w:t xml:space="preserve">delta.</w:t>
      </w:r>
    </w:p>
    <w:p>
      <w:r>
        <w:pict>
          <v:rect style="width:0;height:1.5pt" o:hralign="center" o:hrstd="t" o:hr="t"/>
        </w:pict>
      </w:r>
    </w:p>
    <w:bookmarkEnd w:id="16"/>
    <w:bookmarkStart w:id="17" w:name="current-state-production-ready"/>
    <w:p>
      <w:pPr>
        <w:pStyle w:val="Heading2"/>
      </w:pPr>
      <w:r>
        <w:t xml:space="preserve">Current State (Production-Ready)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tests</w:t>
            </w:r>
          </w:p>
        </w:tc>
        <w:tc>
          <w:tcPr/>
          <w:p>
            <w:pPr>
              <w:pStyle w:val="Compact"/>
            </w:pPr>
            <w:r>
              <w:t xml:space="preserve">3,430 across 129 files (vitest)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/ red-team test cases</w:t>
            </w:r>
          </w:p>
        </w:tc>
        <w:tc>
          <w:tcPr/>
          <w:p>
            <w:pPr>
              <w:pStyle w:val="Compact"/>
            </w:pPr>
            <w:r>
              <w:t xml:space="preserve">85 cataloged in</w:t>
            </w:r>
            <w:r>
              <w:t xml:space="preserve"> </w:t>
            </w:r>
            <w:r>
              <w:rPr>
                <w:rStyle w:val="VerbatimChar"/>
              </w:rPr>
              <w:t xml:space="preserve">docs/conformance/RED_TEAM_CASES.md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 verification</w:t>
            </w:r>
          </w:p>
        </w:tc>
        <w:tc>
          <w:tcPr/>
          <w:p>
            <w:pPr>
              <w:pStyle w:val="Compact"/>
            </w:pPr>
            <w:r>
              <w:t xml:space="preserve">TLA+: 20 properties verified (T1–T20, TLC 2.19, 7,857 states, 0 errors); 6 EP-IX properties (T21–T26) specified, model run pending. Alloy: 32 facts, 15 assertions (Alloy 6.1.0).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tables</w:t>
            </w:r>
          </w:p>
        </w:tc>
        <w:tc>
          <w:tcPr/>
          <w:p>
            <w:pPr>
              <w:pStyle w:val="Compact"/>
            </w:pPr>
            <w:r>
              <w:t xml:space="preserve">~50, all RLS-hardened (see</w:t>
            </w:r>
            <w:r>
              <w:t xml:space="preserve"> </w:t>
            </w:r>
            <w:r>
              <w:rPr>
                <w:rStyle w:val="VerbatimChar"/>
              </w:rPr>
              <w:t xml:space="preserve">supabase/migrations/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endpoints</w:t>
            </w:r>
          </w:p>
        </w:tc>
        <w:tc>
          <w:tcPr/>
          <w:p>
            <w:pPr>
              <w:pStyle w:val="Compact"/>
            </w:pPr>
            <w:r>
              <w:t xml:space="preserve">50+ (all rate-limited; mutating endpoints auth-enforced via</w:t>
            </w:r>
            <w:r>
              <w:t xml:space="preserve"> </w:t>
            </w:r>
            <w:r>
              <w:rPr>
                <w:rStyle w:val="VerbatimChar"/>
              </w:rPr>
              <w:t xml:space="preserve">middleware.js</w:t>
            </w:r>
            <w:r>
              <w:t xml:space="preserve"> </w:t>
            </w:r>
            <w:r>
              <w:t xml:space="preserve">ROUTE_POLICIES)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tools</w:t>
            </w:r>
          </w:p>
        </w:tc>
        <w:tc>
          <w:tcPr/>
          <w:p>
            <w:pPr>
              <w:pStyle w:val="Compact"/>
            </w:pPr>
            <w:r>
              <w:t xml:space="preserve">34 EP-prefixed tools (</w:t>
            </w:r>
            <w:r>
              <w:rPr>
                <w:rStyle w:val="VerbatimChar"/>
              </w:rPr>
              <w:t xml:space="preserve">mcp-server/index.js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SDKs</w:t>
            </w:r>
          </w:p>
        </w:tc>
        <w:tc>
          <w:tcPr/>
          <w:p>
            <w:pPr>
              <w:pStyle w:val="Compact"/>
            </w:pPr>
            <w:r>
              <w:t xml:space="preserve">TypeScript SDK in repo (</w:t>
            </w:r>
            <w:r>
              <w:rPr>
                <w:rStyle w:val="VerbatimChar"/>
              </w:rPr>
              <w:t xml:space="preserve">sdks/typescript/</w:t>
            </w:r>
            <w:r>
              <w:t xml:space="preserve">); Python SDK in repo (</w:t>
            </w:r>
            <w:r>
              <w:rPr>
                <w:rStyle w:val="VerbatimChar"/>
              </w:rPr>
              <w:t xml:space="preserve">sdks/python/</w:t>
            </w:r>
            <w:r>
              <w:t xml:space="preserve">); npm-published</w:t>
            </w:r>
            <w:r>
              <w:t xml:space="preserve"> </w:t>
            </w:r>
            <w:r>
              <w:rPr>
                <w:rStyle w:val="VerbatimChar"/>
              </w:rPr>
              <w:t xml:space="preserve">@emilia-protocol/sdk@0.1.0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 anchoring</w:t>
            </w:r>
          </w:p>
        </w:tc>
        <w:tc>
          <w:tcPr/>
          <w:p>
            <w:pPr>
              <w:pStyle w:val="Compact"/>
            </w:pPr>
            <w:r>
              <w:t xml:space="preserve">Base L2, Merkle roots (</w:t>
            </w:r>
            <w:r>
              <w:rPr>
                <w:rStyle w:val="VerbatimChar"/>
              </w:rPr>
              <w:t xml:space="preserve">lib/blockchain.js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mappings</w:t>
            </w:r>
          </w:p>
        </w:tc>
        <w:tc>
          <w:tcPr/>
          <w:p>
            <w:pPr>
              <w:pStyle w:val="Compact"/>
            </w:pPr>
            <w:r>
              <w:t xml:space="preserve">38 NIST AI RMF subcategories mapped across all four functions (GOVERN, MAP, MEASURE, MANAGE); EU AI Act Articles 9–15 + 26 (Title III, Chapter 2 — high-risk AI systems)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governance</w:t>
            </w:r>
          </w:p>
        </w:tc>
        <w:tc>
          <w:tcPr/>
          <w:p>
            <w:pPr>
              <w:pStyle w:val="Compact"/>
            </w:pPr>
            <w:r>
              <w:t xml:space="preserve">PIP process — 5 PIPs accepted (PIP-001 through PIP-005). PIP-006 Federation in 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Pre-execution product surface</w:t>
            </w:r>
          </w:p>
        </w:tc>
        <w:tc>
          <w:tcPr/>
          <w:p>
            <w:pPr>
              <w:pStyle w:val="Compact"/>
            </w:pPr>
            <w:r>
              <w:t xml:space="preserve">EP GovGuard + EP FinGuard v1 trust-receipts API (</w:t>
            </w:r>
            <w:r>
              <w:rPr>
                <w:rStyle w:val="VerbatimChar"/>
              </w:rPr>
              <w:t xml:space="preserve">/api/v1/trust-receipts/*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/api/v1/signoffs/*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funding-request"/>
    <w:p>
      <w:pPr>
        <w:pStyle w:val="Heading2"/>
      </w:pPr>
      <w:r>
        <w:t xml:space="preserve">Funding Request</w:t>
      </w:r>
    </w:p>
    <w:p>
      <w:pPr>
        <w:pStyle w:val="FirstParagraph"/>
      </w:pPr>
      <w:r>
        <w:rPr>
          <w:b/>
          <w:bCs/>
        </w:rPr>
        <w:t xml:space="preserve">Total requested:</w:t>
      </w:r>
      <w:r>
        <w:t xml:space="preserve"> </w:t>
      </w:r>
      <w:r>
        <w:t xml:space="preserve">$150,000 over 12 months</w:t>
      </w:r>
    </w:p>
    <w:bookmarkStart w:id="19" w:name="budget-breakdown"/>
    <w:p>
      <w:pPr>
        <w:pStyle w:val="Heading3"/>
      </w:pPr>
      <w:r>
        <w:t xml:space="preserve">Budget Breakdown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754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Standalone verification library</w:t>
            </w:r>
          </w:p>
        </w:tc>
        <w:tc>
          <w:tcPr/>
          <w:p>
            <w:pPr>
              <w:pStyle w:val="Compact"/>
            </w:pPr>
            <w:r>
              <w:t xml:space="preserve">$25,000</w:t>
            </w:r>
          </w:p>
        </w:tc>
        <w:tc>
          <w:tcPr/>
          <w:p>
            <w:pPr>
              <w:pStyle w:val="Compact"/>
            </w:pPr>
            <w:r>
              <w:t xml:space="preserve">Zero-dependency offline receipt verification. JS library (</w:t>
            </w:r>
            <w:r>
              <w:rPr>
                <w:rStyle w:val="VerbatimChar"/>
              </w:rPr>
              <w:t xml:space="preserve">@emilia-protocol/verify</w:t>
            </w:r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shipped and published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npmjs.com</w:t>
              </w:r>
            </w:hyperlink>
            <w:r>
              <w:t xml:space="preserve">) — funding covers Python/Go/Rust ports + third-party audit of the crypto implementation.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Federation infrastructure</w:t>
            </w:r>
          </w:p>
        </w:tc>
        <w:tc>
          <w:tcPr/>
          <w:p>
            <w:pPr>
              <w:pStyle w:val="Compact"/>
            </w:pPr>
            <w:r>
              <w:t xml:space="preserve">$40,000</w:t>
            </w:r>
          </w:p>
        </w:tc>
        <w:tc>
          <w:tcPr/>
          <w:p>
            <w:pPr>
              <w:pStyle w:val="Compact"/>
            </w:pPr>
            <w:r>
              <w:t xml:space="preserve">Conformance test</w:t>
            </w:r>
            <w:r>
              <w:t xml:space="preserve"> </w:t>
            </w:r>
            <w:r>
              <w:rPr>
                <w:b/>
                <w:bCs/>
              </w:rPr>
              <w:t xml:space="preserve">passes 7/7</w:t>
            </w:r>
            <w:r>
              <w:t xml:space="preserve"> </w:t>
            </w:r>
            <w:r>
              <w:t xml:space="preserve">on primary operator. Funding covers: AWS CloudFormation deployment of second operator (template exists at</w:t>
            </w:r>
            <w:r>
              <w:t xml:space="preserve"> </w:t>
            </w:r>
            <w:r>
              <w:rPr>
                <w:rStyle w:val="VerbatimChar"/>
              </w:rPr>
              <w:t xml:space="preserve">infrastructure/aws/template.yaml</w:t>
            </w:r>
            <w:r>
              <w:t xml:space="preserve">), federation registry, cross-operator verification.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Type II certification</w:t>
            </w:r>
          </w:p>
        </w:tc>
        <w:tc>
          <w:tcPr/>
          <w:p>
            <w:pPr>
              <w:pStyle w:val="Compact"/>
            </w:pPr>
            <w:r>
              <w:t xml:space="preserve">$30,000</w:t>
            </w:r>
          </w:p>
        </w:tc>
        <w:tc>
          <w:tcPr/>
          <w:p>
            <w:pPr>
              <w:pStyle w:val="Compact"/>
            </w:pPr>
            <w:r>
              <w:t xml:space="preserve">Third-party audit (Cure53 or equivalent) + Vanta/Drata continuous compliance monitoring. Required for enterprise and government adoption.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 Eval benchmark</w:t>
            </w:r>
          </w:p>
        </w:tc>
        <w:tc>
          <w:tcPr/>
          <w:p>
            <w:pPr>
              <w:pStyle w:val="Compact"/>
            </w:pPr>
            <w:r>
              <w:t xml:space="preserve">$20,000</w:t>
            </w:r>
          </w:p>
        </w:tc>
        <w:tc>
          <w:tcPr/>
          <w:p>
            <w:pPr>
              <w:pStyle w:val="Compact"/>
            </w:pPr>
            <w:r>
              <w:t xml:space="preserve">Open-source benchmark for measuring LLM trust-reasoning capability. Training datasets (anonymized). Integration test suite for model providers.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$15,000</w:t>
            </w:r>
          </w:p>
        </w:tc>
        <w:tc>
          <w:tcPr/>
          <w:p>
            <w:pPr>
              <w:pStyle w:val="Compact"/>
            </w:pPr>
            <w:r>
              <w:t xml:space="preserve">AWS hosting for federation registry, CI/CD, staging environments for multi-operator testing.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&amp; documentation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Contributor onboarding, compliance mapping PDFs, one-pager documents for procurement teams.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audit</w:t>
            </w:r>
          </w:p>
        </w:tc>
        <w:tc>
          <w:tcPr/>
          <w:p>
            <w:pPr>
              <w:pStyle w:val="Compact"/>
            </w:pPr>
            <w:r>
              <w:t xml:space="preserve">$10,000</w:t>
            </w:r>
          </w:p>
        </w:tc>
        <w:tc>
          <w:tcPr/>
          <w:p>
            <w:pPr>
              <w:pStyle w:val="Compact"/>
            </w:pPr>
            <w:r>
              <w:t xml:space="preserve">Targeted penetration test of handshake ceremony, commitment proof API, and federation cross-verification.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3" w:name="impact-outcomes"/>
    <w:p>
      <w:pPr>
        <w:pStyle w:val="Heading2"/>
      </w:pPr>
      <w:r>
        <w:t xml:space="preserve">Impact &amp; Outcomes</w:t>
      </w:r>
    </w:p>
    <w:bookmarkStart w:id="21" w:name="month-deliverables"/>
    <w:p>
      <w:pPr>
        <w:pStyle w:val="Heading3"/>
      </w:pPr>
      <w:r>
        <w:t xml:space="preserve">12-Month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1"/>
        <w:gridCol w:w="1885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Measurable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Standalone verification library (cross-language)</w:t>
            </w:r>
          </w:p>
        </w:tc>
        <w:tc>
          <w:tcPr/>
          <w:p>
            <w:pPr>
              <w:pStyle w:val="Compact"/>
            </w:pPr>
            <w:r>
              <w:t xml:space="preserve">Month 1-3</w:t>
            </w:r>
          </w:p>
        </w:tc>
        <w:tc>
          <w:tcPr/>
          <w:p>
            <w:pPr>
              <w:pStyle w:val="Compact"/>
            </w:pPr>
            <w:r>
              <w:t xml:space="preserve">JS library published on npm (</w:t>
            </w:r>
            <w:r>
              <w:rPr>
                <w:rStyle w:val="VerbatimChar"/>
              </w:rPr>
              <w:t xml:space="preserve">@emilia-protocol/verify@1.0.1</w:t>
            </w:r>
            <w:r>
              <w:t xml:space="preserve">, current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  <w:r>
              <w:t xml:space="preserve">; 1.0.0 deprecated for shallow-canonicalization regression). Python/Go/Rust ports + third-party audit of the crypto implementation.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 Core v1.0 formal specification</w:t>
            </w:r>
          </w:p>
        </w:tc>
        <w:tc>
          <w:tcPr/>
          <w:p>
            <w:pPr>
              <w:pStyle w:val="Compact"/>
            </w:pPr>
            <w:r>
              <w:t xml:space="preserve">Month 1-2</w:t>
            </w:r>
          </w:p>
        </w:tc>
        <w:tc>
          <w:tcPr/>
          <w:p>
            <w:pPr>
              <w:pStyle w:val="Compact"/>
            </w:pPr>
            <w:r>
              <w:t xml:space="preserve">Published RFC-style document suitable for standards body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II report</w:t>
            </w:r>
          </w:p>
        </w:tc>
        <w:tc>
          <w:tcPr/>
          <w:p>
            <w:pPr>
              <w:pStyle w:val="Compact"/>
            </w:pPr>
            <w:r>
              <w:t xml:space="preserve">Month 3-6</w:t>
            </w:r>
          </w:p>
        </w:tc>
        <w:tc>
          <w:tcPr/>
          <w:p>
            <w:pPr>
              <w:pStyle w:val="Compact"/>
            </w:pPr>
            <w:r>
              <w:t xml:space="preserve">Audit report that enterprise procurement teams can evaluate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Federation reference implementation</w:t>
            </w:r>
          </w:p>
        </w:tc>
        <w:tc>
          <w:tcPr/>
          <w:p>
            <w:pPr>
              <w:pStyle w:val="Compact"/>
            </w:pPr>
            <w:r>
              <w:t xml:space="preserve">Month 4-8</w:t>
            </w:r>
          </w:p>
        </w:tc>
        <w:tc>
          <w:tcPr/>
          <w:p>
            <w:pPr>
              <w:pStyle w:val="Compact"/>
            </w:pPr>
            <w:r>
              <w:t xml:space="preserve">Deploy second operator on AWS using existing CloudFormation template (</w:t>
            </w:r>
            <w:r>
              <w:rPr>
                <w:rStyle w:val="VerbatimChar"/>
              </w:rPr>
              <w:t xml:space="preserve">infrastructure/aws/template.yaml</w:t>
            </w:r>
            <w:r>
              <w:t xml:space="preserve">), run conformance test, demonstrate cross-operator receipt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 Eval benchmark</w:t>
            </w:r>
          </w:p>
        </w:tc>
        <w:tc>
          <w:tcPr/>
          <w:p>
            <w:pPr>
              <w:pStyle w:val="Compact"/>
            </w:pPr>
            <w:r>
              <w:t xml:space="preserve">Month 6-9</w:t>
            </w:r>
          </w:p>
        </w:tc>
        <w:tc>
          <w:tcPr/>
          <w:p>
            <w:pPr>
              <w:pStyle w:val="Compact"/>
            </w:pPr>
            <w:r>
              <w:t xml:space="preserve">Open-source benchmark available on GitHub, evaluated against 3+ model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NIST/EU compliance mapping (formal PDFs)</w:t>
            </w:r>
          </w:p>
        </w:tc>
        <w:tc>
          <w:tcPr/>
          <w:p>
            <w:pPr>
              <w:pStyle w:val="Compact"/>
            </w:pPr>
            <w:r>
              <w:t xml:space="preserve">Month 2-4</w:t>
            </w:r>
          </w:p>
        </w:tc>
        <w:tc>
          <w:tcPr/>
          <w:p>
            <w:pPr>
              <w:pStyle w:val="Compact"/>
            </w:pPr>
            <w:r>
              <w:t xml:space="preserve">Published documents mapping EP to NIST AI RMF and EU AI Act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government pilot</w:t>
            </w:r>
          </w:p>
        </w:tc>
        <w:tc>
          <w:tcPr/>
          <w:p>
            <w:pPr>
              <w:pStyle w:val="Compact"/>
            </w:pPr>
            <w:r>
              <w:t xml:space="preserve">Month 9-12</w:t>
            </w:r>
          </w:p>
        </w:tc>
        <w:tc>
          <w:tcPr/>
          <w:p>
            <w:pPr>
              <w:pStyle w:val="Compact"/>
            </w:pPr>
            <w:r>
              <w:t xml:space="preserve">Working pilot with a US federal agency (NIST engagement in progress)</w:t>
            </w:r>
          </w:p>
        </w:tc>
      </w:tr>
    </w:tbl>
    <w:bookmarkEnd w:id="21"/>
    <w:bookmarkStart w:id="22" w:name="long-term-impact"/>
    <w:p>
      <w:pPr>
        <w:pStyle w:val="Heading3"/>
      </w:pPr>
      <w:r>
        <w:t xml:space="preserve">Long-Term Impact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standard adoption:</w:t>
      </w:r>
      <w:r>
        <w:t xml:space="preserve"> </w:t>
      </w:r>
      <w:r>
        <w:t xml:space="preserve">EP Core becomes the default trust interface for AI agent systems, similar to how TLS became the default for web security.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Regulatory alignment:</w:t>
      </w:r>
      <w:r>
        <w:t xml:space="preserve"> </w:t>
      </w:r>
      <w:r>
        <w:t xml:space="preserve">Compliance mappings enable EP to serve as the implementation layer for NIST AI RMF, EU AI Act, and future regulations.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Multi-stakeholder governance:</w:t>
      </w:r>
      <w:r>
        <w:t xml:space="preserve"> </w:t>
      </w:r>
      <w:r>
        <w:t xml:space="preserve">PIP process enables community-driven protocol evolution without destabilizing the frozen core.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Economic ecosystem:</w:t>
      </w:r>
      <w:r>
        <w:t xml:space="preserve"> </w:t>
      </w:r>
      <w:r>
        <w:t xml:space="preserve">EP Cloud (commercial managed offering) sustains protocol development while the core protocol remains free and open.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why-aws"/>
    <w:p>
      <w:pPr>
        <w:pStyle w:val="Heading2"/>
      </w:pPr>
      <w:r>
        <w:t xml:space="preserve">Why AWS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Infrastructure scale:</w:t>
      </w:r>
      <w:r>
        <w:t xml:space="preserve"> </w:t>
      </w:r>
      <w:r>
        <w:t xml:space="preserve">EP federation requires globally distributed infrastructure for multi-operator testing. AWS provides the geographic distribution and reliability needed.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ecosystem alignment:</w:t>
      </w:r>
      <w:r>
        <w:t xml:space="preserve"> </w:t>
      </w:r>
      <w:r>
        <w:t xml:space="preserve">AWS Bedrock, SageMaker, and the broader AWS AI/ML stack are prime integration targets for EP’s trust enforcement. Models running on AWS should have native trust primitives.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Government cloud:</w:t>
      </w:r>
      <w:r>
        <w:t xml:space="preserve"> </w:t>
      </w:r>
      <w:r>
        <w:t xml:space="preserve">AWS GovCloud is the primary infrastructure for US federal AI deployments. EP’s government pilot work aligns directly with AWS’s government cloud strategy.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 source commitment:</w:t>
      </w:r>
      <w:r>
        <w:t xml:space="preserve"> </w:t>
      </w:r>
      <w:r>
        <w:t xml:space="preserve">AWS’s track record with open-source projects (OpenSearch, Bottlerocket, Cedar) demonstrates alignment with EP’s Apache 2.0 licensing and community governance model.</w:t>
      </w:r>
    </w:p>
    <w:p>
      <w:r>
        <w:pict>
          <v:rect style="width:0;height:1.5pt" o:hralign="center" o:hrstd="t" o:hr="t"/>
        </w:pict>
      </w:r>
    </w:p>
    <w:bookmarkEnd w:id="24"/>
    <w:bookmarkStart w:id="25" w:name="team"/>
    <w:p>
      <w:pPr>
        <w:pStyle w:val="Heading2"/>
      </w:pPr>
      <w:r>
        <w:t xml:space="preserve">Team</w:t>
      </w:r>
    </w:p>
    <w:p>
      <w:pPr>
        <w:pStyle w:val="FirstParagraph"/>
      </w:pPr>
      <w:r>
        <w:rPr>
          <w:b/>
          <w:bCs/>
        </w:rPr>
        <w:t xml:space="preserve">Iman Schrock</w:t>
      </w:r>
      <w:r>
        <w:t xml:space="preserve"> </w:t>
      </w:r>
      <w:r>
        <w:t xml:space="preserve">— Protocol Author &amp; CEO</w:t>
      </w:r>
      <w:r>
        <w:t xml:space="preserve"> </w:t>
      </w:r>
      <w:r>
        <w:t xml:space="preserve">- Designed and implemented the full EP protocol stack</w:t>
      </w:r>
      <w:r>
        <w:t xml:space="preserve"> </w:t>
      </w:r>
      <w:r>
        <w:t xml:space="preserve">- Background in trust systems, cryptographic protocols, and regulated-industry software</w:t>
      </w:r>
      <w:r>
        <w:t xml:space="preserve"> </w:t>
      </w:r>
      <w:r>
        <w:t xml:space="preserve">- Active engagement with NIST AI safety working groups and AAIF</w:t>
      </w:r>
    </w:p>
    <w:p>
      <w:r>
        <w:pict>
          <v:rect style="width:0;height:1.5pt" o:hralign="center" o:hrstd="t" o:hr="t"/>
        </w:pict>
      </w:r>
    </w:p>
    <w:bookmarkEnd w:id="25"/>
    <w:bookmarkStart w:id="26" w:name="open-source-commitment"/>
    <w:p>
      <w:pPr>
        <w:pStyle w:val="Heading2"/>
      </w:pPr>
      <w:r>
        <w:t xml:space="preserve">Open Source Commitment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License:</w:t>
      </w:r>
      <w:r>
        <w:t xml:space="preserve"> </w:t>
      </w:r>
      <w:r>
        <w:t xml:space="preserve">Apache 2.0 (irrevocable)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deliverables:</w:t>
      </w:r>
      <w:r>
        <w:t xml:space="preserve"> </w:t>
      </w:r>
      <w:r>
        <w:t xml:space="preserve">Published on GitHub under the same license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DCO enforcement:</w:t>
      </w:r>
      <w:r>
        <w:t xml:space="preserve"> </w:t>
      </w:r>
      <w:r>
        <w:t xml:space="preserve">On every contribution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SBOM + provenance:</w:t>
      </w:r>
      <w:r>
        <w:t xml:space="preserve"> </w:t>
      </w:r>
      <w:r>
        <w:t xml:space="preserve">Attestation on every release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open-core bait-and-switch:</w:t>
      </w:r>
      <w:r>
        <w:t xml:space="preserve"> </w:t>
      </w:r>
      <w:r>
        <w:t xml:space="preserve">The protocol is fully open. EP Cloud is the managed offering, not a gated feature set.</w:t>
      </w:r>
    </w:p>
    <w:p>
      <w:r>
        <w:pict>
          <v:rect style="width:0;height:1.5pt" o:hralign="center" o:hrstd="t" o:hr="t"/>
        </w:pict>
      </w:r>
    </w:p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GitHub:</w:t>
      </w:r>
      <w:r>
        <w:t xml:space="preserve"> </w:t>
      </w:r>
      <w:r>
        <w:t xml:space="preserve">github.com/emilia-protocol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Protocol Standard:</w:t>
      </w:r>
      <w:r>
        <w:t xml:space="preserve"> </w:t>
      </w:r>
      <w:r>
        <w:t xml:space="preserve">PROTOCOL-STANDARD.md (Abstract + Core objects + Extensions)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Formal Models:</w:t>
      </w:r>
      <w:r>
        <w:t xml:space="preserve"> </w:t>
      </w:r>
      <w:r>
        <w:t xml:space="preserve">formal/ep_handshake.tla, formal/ep_relations.als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NIST Engagement:</w:t>
      </w:r>
      <w:r>
        <w:t xml:space="preserve"> </w:t>
      </w:r>
      <w:r>
        <w:t xml:space="preserve">docs/NIST-ENGAGEMENT-PLAN.md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AAIF Proposal:</w:t>
      </w:r>
      <w:r>
        <w:t xml:space="preserve"> </w:t>
      </w:r>
      <w:r>
        <w:t xml:space="preserve">docs/AAIF-PROPOSAL-v3.md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Compliance Mappings:</w:t>
      </w:r>
      <w:r>
        <w:t xml:space="preserve"> </w:t>
      </w:r>
      <w:r>
        <w:t xml:space="preserve">docs/compliance/NIST-AI-RMF-MAPPING.md, docs/compliance/EU-AI-ACT-MAPPING.md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Federation Spec:</w:t>
      </w:r>
      <w:r>
        <w:t xml:space="preserve"> </w:t>
      </w:r>
      <w:r>
        <w:t xml:space="preserve">docs/FEDERATION-SPEC.md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LLM Schema:</w:t>
      </w:r>
      <w:r>
        <w:t xml:space="preserve"> </w:t>
      </w:r>
      <w:r>
        <w:t xml:space="preserve">docs/LLM-FUNCTION-CALLING-SCHEMA.md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Vision:</w:t>
      </w:r>
      <w:r>
        <w:t xml:space="preserve"> </w:t>
      </w:r>
      <w:r>
        <w:t xml:space="preserve">docs/VISION-BITCOIN-OF-TRUST.md</w:t>
      </w:r>
    </w:p>
    <w:p>
      <w:r>
        <w:pict>
          <v:rect style="width:0;height:1.5pt" o:hralign="center" o:hrstd="t" o:hr="t"/>
        </w:pict>
      </w:r>
    </w:p>
    <w:bookmarkEnd w:id="27"/>
    <w:bookmarkStart w:id="28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Iman Schrock</w:t>
      </w:r>
      <w:r>
        <w:br/>
      </w:r>
      <w:r>
        <w:t xml:space="preserve">iman@emiliaprotocol.ai</w:t>
      </w:r>
      <w:r>
        <w:br/>
      </w:r>
      <w:r>
        <w:t xml:space="preserve">github.com/emilia-protocol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emiliaprotocol.ai/finguard" TargetMode="External" /><Relationship Type="http://schemas.openxmlformats.org/officeDocument/2006/relationships/hyperlink" Id="rId14" Target="https://emiliaprotocol.ai/govguard" TargetMode="External" /><Relationship Type="http://schemas.openxmlformats.org/officeDocument/2006/relationships/hyperlink" Id="rId18" Target="https://www.npmjs.com/package/@emilia-protocol/verif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emiliaprotocol.ai/finguard" TargetMode="External" /><Relationship Type="http://schemas.openxmlformats.org/officeDocument/2006/relationships/hyperlink" Id="rId14" Target="https://emiliaprotocol.ai/govguard" TargetMode="External" /><Relationship Type="http://schemas.openxmlformats.org/officeDocument/2006/relationships/hyperlink" Id="rId18" Target="https://www.npmjs.com/package/@emilia-protocol/verif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2026-04-30T05:23:10Z</dcterms:created>
  <dcterms:modified xsi:type="dcterms:W3CDTF">2026-04-30T05:23:10Z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