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328C" w14:textId="52BA0B0D" w:rsidR="00774ED8" w:rsidRDefault="00130190" w:rsidP="00982FEA">
      <w:pPr>
        <w:spacing w:before="240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F71223">
        <w:rPr>
          <w:rFonts w:cstheme="minorHAnsi"/>
          <w:b/>
          <w:bCs/>
          <w:sz w:val="26"/>
          <w:szCs w:val="26"/>
          <w:lang w:val="en-US"/>
        </w:rPr>
        <w:t>Analys</w:t>
      </w:r>
      <w:r w:rsidR="007C7EC3" w:rsidRPr="00F71223">
        <w:rPr>
          <w:rFonts w:cstheme="minorHAnsi"/>
          <w:b/>
          <w:bCs/>
          <w:sz w:val="26"/>
          <w:szCs w:val="26"/>
          <w:lang w:val="en-US"/>
        </w:rPr>
        <w:t xml:space="preserve">is plan: </w:t>
      </w:r>
      <w:r w:rsidR="00773050">
        <w:rPr>
          <w:rFonts w:cstheme="minorHAnsi"/>
          <w:b/>
          <w:bCs/>
          <w:sz w:val="26"/>
          <w:szCs w:val="26"/>
          <w:lang w:val="en-US"/>
        </w:rPr>
        <w:t>Time trends in</w:t>
      </w:r>
      <w:r w:rsidR="00EA7259" w:rsidRPr="00F71223">
        <w:rPr>
          <w:rFonts w:cstheme="minorHAnsi"/>
          <w:b/>
          <w:bCs/>
          <w:sz w:val="26"/>
          <w:szCs w:val="26"/>
          <w:lang w:val="en-US"/>
        </w:rPr>
        <w:t xml:space="preserve"> tobacco</w:t>
      </w:r>
      <w:r w:rsidR="00EF14A8" w:rsidRPr="00F71223">
        <w:rPr>
          <w:rFonts w:cstheme="minorHAnsi"/>
          <w:b/>
          <w:bCs/>
          <w:sz w:val="26"/>
          <w:szCs w:val="26"/>
          <w:lang w:val="en-US"/>
        </w:rPr>
        <w:t xml:space="preserve"> purchase</w:t>
      </w:r>
      <w:r w:rsidR="00773050">
        <w:rPr>
          <w:rFonts w:cstheme="minorHAnsi"/>
          <w:b/>
          <w:bCs/>
          <w:sz w:val="26"/>
          <w:szCs w:val="26"/>
          <w:lang w:val="en-US"/>
        </w:rPr>
        <w:t xml:space="preserve">s </w:t>
      </w:r>
      <w:r w:rsidR="00EF14A8" w:rsidRPr="00F71223">
        <w:rPr>
          <w:rFonts w:cstheme="minorHAnsi"/>
          <w:b/>
          <w:bCs/>
          <w:sz w:val="26"/>
          <w:szCs w:val="26"/>
          <w:lang w:val="en-US"/>
        </w:rPr>
        <w:t xml:space="preserve">in Denmark </w:t>
      </w:r>
    </w:p>
    <w:p w14:paraId="48A040D1" w14:textId="499A4406" w:rsidR="00EB3595" w:rsidRPr="000D25ED" w:rsidRDefault="00EB3595" w:rsidP="00EB3595">
      <w:pPr>
        <w:rPr>
          <w:rFonts w:cstheme="minorHAnsi"/>
          <w:sz w:val="20"/>
          <w:szCs w:val="20"/>
          <w:lang w:val="en-US"/>
        </w:rPr>
      </w:pPr>
      <w:r w:rsidRPr="000D25ED">
        <w:rPr>
          <w:rFonts w:cstheme="minorHAnsi"/>
          <w:b/>
          <w:bCs/>
          <w:sz w:val="20"/>
          <w:szCs w:val="20"/>
          <w:lang w:val="en-US"/>
        </w:rPr>
        <w:t xml:space="preserve">Target journal: </w:t>
      </w:r>
      <w:r w:rsidR="00D206AE" w:rsidRPr="000D25ED">
        <w:rPr>
          <w:rFonts w:cstheme="minorHAnsi"/>
          <w:sz w:val="20"/>
          <w:szCs w:val="20"/>
          <w:lang w:val="en-US"/>
        </w:rPr>
        <w:t xml:space="preserve">The Lancet Respiratory Medicine or </w:t>
      </w:r>
      <w:r w:rsidR="00A62677" w:rsidRPr="000D25ED">
        <w:rPr>
          <w:rFonts w:cstheme="minorHAnsi"/>
          <w:sz w:val="20"/>
          <w:szCs w:val="20"/>
          <w:lang w:val="en-US"/>
        </w:rPr>
        <w:t>Tobacco Prevention and Cessation</w:t>
      </w:r>
    </w:p>
    <w:p w14:paraId="208E9DAC" w14:textId="1C6CC871" w:rsidR="00015213" w:rsidRPr="000D25ED" w:rsidRDefault="00D04D38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Objectives:</w:t>
      </w:r>
      <w:r w:rsidR="003A4B25"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015213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It is well-known that smoking is a risk factor for different diseases, cardiovascular disease</w:t>
      </w:r>
    </w:p>
    <w:p w14:paraId="1A43947F" w14:textId="13829E94" w:rsidR="00015213" w:rsidRPr="000D25ED" w:rsidRDefault="00015213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amongst others. 73 % of smokers in Denmark wish to quit, still, the smoking prevalence</w:t>
      </w:r>
    </w:p>
    <w:p w14:paraId="1F10378F" w14:textId="3F69B518" w:rsidR="00D04D38" w:rsidRDefault="00015213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among adults in Denmark is 17</w:t>
      </w:r>
      <w:r w:rsidR="0095602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%</w:t>
      </w:r>
      <w:r w:rsidR="003C5E9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  <w:r w:rsidR="00300B39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To</w:t>
      </w:r>
      <w:r w:rsidR="00FD1BC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target preventive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as well as smoking cessation</w:t>
      </w:r>
      <w:r w:rsidR="00FD1BC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A41E0F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interventions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, </w:t>
      </w:r>
      <w:r w:rsidR="005A2B9D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it is 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important to obtain 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knowledge about 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smokers’ </w:t>
      </w:r>
      <w:r w:rsidR="00E11444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behavioral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patterns. </w:t>
      </w:r>
      <w:r w:rsidR="00254AF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Consumer purchase</w:t>
      </w:r>
      <w:r w:rsidR="00D17D82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data provides</w:t>
      </w:r>
      <w:r w:rsidR="00254AF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 novel approach to </w:t>
      </w:r>
      <w:r w:rsidR="00FC7BF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assess time trends in tobacco purchases </w:t>
      </w:r>
      <w:r w:rsidR="0045504C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among different population groups. 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 this paper, we</w:t>
      </w:r>
      <w:r w:rsidR="00AD19C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focus on </w:t>
      </w:r>
      <w:r w:rsidR="00AD19C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investigat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ing</w:t>
      </w:r>
      <w:r w:rsidR="00FF40E9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time trends in </w:t>
      </w:r>
      <w:r w:rsidR="00360AC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the amount of 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tobacco p</w:t>
      </w:r>
      <w:r w:rsidR="00360AC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ackages bought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in</w:t>
      </w:r>
      <w:r w:rsidR="00FE562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Denmark</w:t>
      </w:r>
      <w:r w:rsidR="00AA7F1A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10BCA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across </w:t>
      </w:r>
      <w:r w:rsidR="00376A6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gender, age</w:t>
      </w:r>
      <w:r w:rsidR="007263CC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,</w:t>
      </w:r>
      <w:r w:rsidR="00A7107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</w:t>
      </w:r>
      <w:r w:rsidR="00814D8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status of </w:t>
      </w:r>
      <w:r w:rsidR="007A4A0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CVD</w:t>
      </w:r>
      <w:r w:rsidR="00814D8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risk. </w:t>
      </w:r>
    </w:p>
    <w:p w14:paraId="7CDC7BEE" w14:textId="77777777" w:rsidR="000D25ED" w:rsidRPr="000D25ED" w:rsidRDefault="000D25ED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3BCB2824" w14:textId="5F0E19B0" w:rsidR="00E92243" w:rsidRDefault="00E92243" w:rsidP="00E9224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Study design: </w:t>
      </w:r>
      <w:r w:rsidR="00B939A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Longitudinal observational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study. </w:t>
      </w:r>
    </w:p>
    <w:p w14:paraId="3AFC6495" w14:textId="7FAB7454" w:rsidR="00921391" w:rsidRDefault="00921391" w:rsidP="00E9224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6F9AB04D" w14:textId="0D9572FF" w:rsidR="00921391" w:rsidRPr="00921391" w:rsidRDefault="00921391" w:rsidP="00E92243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Data: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Tobacco purchase data from January 2019 until September 2020 (soon </w:t>
      </w:r>
      <w:r w:rsidR="00B7448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October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2021) was collected through an app containing electronic receipts (</w:t>
      </w:r>
      <w:proofErr w:type="spellStart"/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). Data consisted of 24,209 tobacco transactions (100,852 tobacco packages) made by 1,857 subjects</w:t>
      </w:r>
      <w:r w:rsidR="00F46D1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(out of a total number of 8,800 </w:t>
      </w:r>
      <w:proofErr w:type="spellStart"/>
      <w:r w:rsidR="00F46D1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F46D1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users by September 2020)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  <w:r w:rsidR="00AB21B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16910865" w14:textId="77777777" w:rsidR="000D25ED" w:rsidRPr="000D25ED" w:rsidRDefault="000D25ED" w:rsidP="00E92243">
      <w:pPr>
        <w:spacing w:after="0" w:line="240" w:lineRule="auto"/>
        <w:rPr>
          <w:rFonts w:eastAsia="Times New Roman" w:cstheme="minorHAnsi"/>
          <w:sz w:val="20"/>
          <w:szCs w:val="20"/>
          <w:lang w:val="en-US" w:eastAsia="da-DK"/>
        </w:rPr>
      </w:pPr>
    </w:p>
    <w:p w14:paraId="7105A2FE" w14:textId="7E632E89" w:rsidR="00325F88" w:rsidRDefault="00E92243" w:rsidP="00E92243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Methods</w:t>
      </w:r>
    </w:p>
    <w:p w14:paraId="4D209B88" w14:textId="280637B2" w:rsidR="004836A0" w:rsidRDefault="00325F88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325F88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Defining</w:t>
      </w: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a time dynamic </w:t>
      </w:r>
      <w:r w:rsidR="008F21A1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population of active </w:t>
      </w:r>
      <w:proofErr w:type="spellStart"/>
      <w:r w:rsidR="008F21A1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8F21A1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users: </w:t>
      </w:r>
      <w:r w:rsidRPr="00325F88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502A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For each day,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 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dynamic</w:t>
      </w:r>
      <w:r w:rsidR="00C4452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active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proofErr w:type="spellStart"/>
      <w:r w:rsid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C4452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population </w:t>
      </w:r>
      <w:r w:rsidR="0071103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proofErr w:type="spellStart"/>
      <w:r w:rsidR="0047609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sb.pop</w:t>
      </w:r>
      <w:proofErr w:type="spellEnd"/>
      <w:r w:rsidR="0071103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C42FB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5A6E9C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will be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defined </w:t>
      </w:r>
      <w:r w:rsidR="005E287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by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 subjects having</w:t>
      </w:r>
      <w:r w:rsidR="00D25FF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made a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 least one</w:t>
      </w:r>
      <w:r w:rsidR="00D25FF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transaction 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within 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 past</w:t>
      </w:r>
      <w:r w:rsidR="00EC2E7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 (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30 days</w:t>
      </w:r>
      <w:r w:rsidR="00EC2E7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9A750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Note that t</w:t>
      </w:r>
      <w:r w:rsidR="00234AB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he 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active </w:t>
      </w:r>
      <w:proofErr w:type="spellStart"/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users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A4852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per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1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perscript"/>
          <w:lang w:val="en-US" w:eastAsia="da-DK"/>
        </w:rPr>
        <w:t>st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Jan 2019 were based on purchases in Dec 2018.</w:t>
      </w:r>
      <w:r w:rsidR="007B4F73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836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This is done </w:t>
      </w:r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 avoid an </w:t>
      </w:r>
      <w:r w:rsidR="00B1431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unrealistically</w:t>
      </w:r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large </w:t>
      </w:r>
      <w:proofErr w:type="spellStart"/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population at the end of the period, as some subjects </w:t>
      </w:r>
      <w:r w:rsidR="006F0EB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stop using </w:t>
      </w:r>
      <w:proofErr w:type="spellStart"/>
      <w:r w:rsidR="006F0EB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6F0EB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at some point.</w:t>
      </w:r>
      <w:r w:rsidR="006F0EB2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4093CBCB" w14:textId="50E004E3" w:rsidR="000F0990" w:rsidRPr="00C56220" w:rsidRDefault="000F0990" w:rsidP="000F0990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Whether or not subject </w:t>
      </w:r>
      <w:proofErr w:type="spellStart"/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</w:t>
      </w:r>
      <w:proofErr w:type="spellEnd"/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is active at time t </w:t>
      </w:r>
      <w:r w:rsidR="00EF1BA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unit of days</w:t>
      </w:r>
      <w:r w:rsidR="00EF1BA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is defined as follows:</w:t>
      </w:r>
    </w:p>
    <w:p w14:paraId="00FDEFE9" w14:textId="77777777" w:rsidR="000F0990" w:rsidRDefault="000F0990" w:rsidP="000F0990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=1{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ik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t-30,t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, k≥1}</m:t>
        </m:r>
      </m:oMath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 </w:t>
      </w:r>
    </w:p>
    <w:p w14:paraId="49D0566D" w14:textId="77777777" w:rsidR="005C72F5" w:rsidRDefault="0085302D" w:rsidP="0085302D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We then </w:t>
      </w:r>
      <w:r w:rsidR="005F05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define the active sb population at time t </w:t>
      </w:r>
      <w:r w:rsidR="005C72F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by summing over the n subjects:</w:t>
      </w:r>
    </w:p>
    <w:p w14:paraId="620417FA" w14:textId="1EDD4379" w:rsidR="000F0990" w:rsidRPr="000F0990" w:rsidRDefault="005C72F5" w:rsidP="005C72F5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i=1</m:t>
            </m:r>
          </m:sub>
          <m:sup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sb.pop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it</m:t>
                </m:r>
              </m:sub>
            </m:sSub>
          </m:e>
        </m:nary>
      </m:oMath>
    </w:p>
    <w:p w14:paraId="020A06EE" w14:textId="174B6660" w:rsidR="00B04EEE" w:rsidRPr="00B04EEE" w:rsidRDefault="001A5C94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Defining </w:t>
      </w:r>
      <w:r w:rsidR="006B0F07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the tobacco package rate per day and month: 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</w:t>
      </w:r>
      <w:r w:rsidR="006B0F0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e above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population 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is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used to calculate 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amount</w:t>
      </w:r>
      <w:r w:rsidR="00D30DE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of tobacco packages bought 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per day</w:t>
      </w:r>
      <w:r w:rsidR="00A8089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(t)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per 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active </w:t>
      </w:r>
      <w:proofErr w:type="spellStart"/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user</w:t>
      </w:r>
      <w:r w:rsidR="0042634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25A9332C" w14:textId="7D011BF3" w:rsidR="00B04EEE" w:rsidRDefault="00FF0BC2" w:rsidP="0042634A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 xml:space="preserve">=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N.pack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/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</m:oMath>
    </w:p>
    <w:p w14:paraId="39D47173" w14:textId="5F521EE3" w:rsidR="00A944DF" w:rsidRPr="002D446A" w:rsidRDefault="00A944DF" w:rsidP="002D446A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This can then be summed by </w:t>
      </w:r>
      <w:r w:rsidR="00992E87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calendar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</w:t>
      </w:r>
      <w:r w:rsidR="00F3175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(M months in total)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to get the amount of packages bought per month (m</w:t>
      </w:r>
      <w:r w:rsidR="008170E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=</w:t>
      </w:r>
      <w:r w:rsidR="00EE214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2019-01, 2019-02,…,2010-09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) per active </w:t>
      </w:r>
      <w:proofErr w:type="spellStart"/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user:</w:t>
      </w:r>
    </w:p>
    <w:p w14:paraId="2C7A1D62" w14:textId="1E31480E" w:rsidR="00DA248B" w:rsidRDefault="00FF0BC2" w:rsidP="0042634A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m=1</m:t>
            </m:r>
          </m:sub>
          <m:sup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Pack.rate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 xml:space="preserve"> 1{t∈m}</m:t>
        </m:r>
      </m:oMath>
    </w:p>
    <w:p w14:paraId="0187C17A" w14:textId="448E7154" w:rsidR="00B04EEE" w:rsidRDefault="00707730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Including </w:t>
      </w:r>
      <w:r w:rsidR="007325B0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covariates and grocery shopping history</w:t>
      </w:r>
    </w:p>
    <w:p w14:paraId="279E6E5F" w14:textId="34E0240A" w:rsidR="007325B0" w:rsidRPr="00B04EEE" w:rsidRDefault="00EA6AA7" w:rsidP="007325B0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This parameter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</m:oMath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) will be investigated </w:t>
      </w:r>
      <w:r w:rsid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for the following subgroups:</w:t>
      </w:r>
    </w:p>
    <w:p w14:paraId="066E7F78" w14:textId="34175BCB" w:rsidR="00C54F71" w:rsidRDefault="00877F10" w:rsidP="00C54F71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Gender (male</w:t>
      </w:r>
      <w:r w:rsidR="00D00DB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/</w:t>
      </w:r>
      <w:r w:rsidR="00D00DB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female)</w:t>
      </w:r>
    </w:p>
    <w:p w14:paraId="38859834" w14:textId="0106E476" w:rsidR="00C54F71" w:rsidRDefault="00877F10" w:rsidP="00C54F71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Age (&lt;=40, 40+)</w:t>
      </w:r>
    </w:p>
    <w:p w14:paraId="16F749EB" w14:textId="1C8AA336" w:rsidR="00164F6C" w:rsidRDefault="00A73951" w:rsidP="006C2B0B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CVD</w:t>
      </w:r>
      <w:r w:rsidR="0097133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risk</w:t>
      </w:r>
      <w:r w:rsidR="00FD4EC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</w:t>
      </w:r>
      <w:r w:rsidR="00664B8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hypertension, statins</w:t>
      </w:r>
      <w:r w:rsidR="00FF590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,</w:t>
      </w:r>
      <w:r w:rsidR="00664B8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or </w:t>
      </w:r>
      <w:r w:rsidR="00601BE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diabetes medication). </w:t>
      </w:r>
    </w:p>
    <w:p w14:paraId="64AF8568" w14:textId="11C9585C" w:rsidR="006C2B0B" w:rsidRDefault="00762C7E" w:rsidP="006C2B0B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Graphical </w:t>
      </w:r>
      <w:r w:rsidR="0047306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approach: </w:t>
      </w:r>
      <w:r w:rsidR="00845FD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monthly </w:t>
      </w:r>
      <w:r w:rsidR="00E954F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tobacco package 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rates</w:t>
      </w:r>
      <w:r w:rsidR="00E954F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45FD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will be shown and compared graphically for the different subgroups</w:t>
      </w:r>
      <w:r w:rsidR="005D62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(including 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bootstrapped </w:t>
      </w:r>
      <w:r w:rsidR="005D62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confidence intervals</w:t>
      </w:r>
      <w:r w:rsidR="00DD5AE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).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0A338BF4" w14:textId="4F98E9B3" w:rsidR="00825DCE" w:rsidRDefault="00473069" w:rsidP="006C2B0B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Modelling approach: </w:t>
      </w:r>
      <w:r w:rsidR="008A2B9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Assuming that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A2B9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age and 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CVD risk is time </w:t>
      </w:r>
      <w:r w:rsidR="00066E3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varying,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gender is fixed, we define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the set </w:t>
      </w:r>
      <w:r w:rsidR="00E8195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of covariates</w:t>
      </w:r>
      <w:r w:rsidR="008013B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known just before time t</w:t>
      </w:r>
      <w:r w:rsidR="00E8195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by the </w:t>
      </w:r>
      <w:r w:rsidR="00CC53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filtration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438F01B8" w14:textId="30069A6B" w:rsidR="004000A0" w:rsidRDefault="00CC5306" w:rsidP="00825DCE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 σ{Gender, Age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, CVDrisk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:s&lt;t}</m:t>
        </m:r>
      </m:oMath>
      <w:r w:rsidR="00813EF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  <w:r w:rsidR="00E30D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Our</w:t>
      </w:r>
      <w:r w:rsidR="001B4AC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target parameter is then to estimate the expected number of </w:t>
      </w:r>
      <w:r w:rsidR="00AC2B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tobacco packages per active </w:t>
      </w:r>
      <w:proofErr w:type="spellStart"/>
      <w:r w:rsidR="00AC2B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proofErr w:type="spellEnd"/>
      <w:r w:rsidR="00AC2B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user given</w:t>
      </w:r>
      <w:r w:rsidR="004000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</m:oMath>
      <w:r w:rsidR="004000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79FB6073" w14:textId="3DFD49F6" w:rsidR="007A20EE" w:rsidRDefault="003057FC" w:rsidP="002F739B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μ(m)=E(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|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)</m:t>
        </m:r>
      </m:oMath>
      <w:r w:rsidR="0041697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</w:p>
    <w:p w14:paraId="390B3683" w14:textId="77777777" w:rsidR="002F739B" w:rsidRPr="002F739B" w:rsidRDefault="002F739B" w:rsidP="002F739B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23AAB8AD" w14:textId="77777777" w:rsidR="003950B9" w:rsidRPr="003950B9" w:rsidRDefault="00E10680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3950B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Sub-analys</w:t>
      </w:r>
      <w:r w:rsidR="003950B9" w:rsidRPr="003950B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es</w:t>
      </w:r>
    </w:p>
    <w:p w14:paraId="1B736C46" w14:textId="77777777" w:rsidR="00103844" w:rsidRPr="00103844" w:rsidRDefault="00103844" w:rsidP="00103844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</w:t>
      </w:r>
      <w:r w:rsidR="00E1068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ompare </w:t>
      </w:r>
      <w:r w:rsidR="002168D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lockdown periods with different control periods </w:t>
      </w:r>
      <w:r w:rsidR="00F963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r w:rsidR="00313663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with January considered as a special case, as literature shows that </w:t>
      </w:r>
      <w:r w:rsidR="00315D9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smoking decreases in January</w:t>
      </w:r>
      <w:r w:rsidR="0001387F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315D9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</w:p>
    <w:p w14:paraId="2D91A957" w14:textId="77777777" w:rsidR="00103844" w:rsidRPr="00103844" w:rsidRDefault="0001387F" w:rsidP="00103844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Jan 2021 (lockdown) with Jan 2020 and Jan 2019</w:t>
      </w:r>
      <w:r w:rsidR="00697B12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</w:p>
    <w:p w14:paraId="50880AC5" w14:textId="1793157C" w:rsidR="006D6298" w:rsidRPr="00022AB2" w:rsidRDefault="006D6298" w:rsidP="00103844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Feb-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Mar-</w:t>
      </w: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Apr 2021 (lockdown) with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the preceding </w:t>
      </w:r>
      <w:r w:rsidR="00E86B53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3 month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period </w:t>
      </w:r>
      <w:r w:rsidR="002A5885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Sep-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Oct-</w:t>
      </w:r>
      <w:r w:rsidR="002A5885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Nov 2020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and the </w:t>
      </w:r>
      <w:r w:rsidR="00A93679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3 month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following period </w:t>
      </w:r>
      <w:r w:rsidR="0064041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Jun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-Jul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-</w:t>
      </w:r>
      <w:r w:rsidR="0064041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Aug 2021. </w:t>
      </w:r>
    </w:p>
    <w:p w14:paraId="00ABE302" w14:textId="7C0F0090" w:rsidR="00022AB2" w:rsidRPr="00022AB2" w:rsidRDefault="00F346C2" w:rsidP="00022AB2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Instead of comparing trends in calendar months, we compare trends in </w:t>
      </w:r>
      <w:r w:rsidR="0059480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of tobacco purchase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: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day </w:t>
      </w:r>
      <w:r w:rsidR="007C56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(&lt; 16.00 )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vs. evening</w:t>
      </w:r>
      <w:r w:rsidR="007C56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(&gt; 16.00 )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weekday 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proofErr w:type="spellStart"/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mon-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fri</w:t>
      </w:r>
      <w:proofErr w:type="spellEnd"/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16.00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vs. weekend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</w:t>
      </w:r>
      <w:proofErr w:type="spellStart"/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fri</w:t>
      </w:r>
      <w:proofErr w:type="spellEnd"/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16.00-</w:t>
      </w:r>
      <w:r w:rsidR="00681A7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sun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</w:p>
    <w:p w14:paraId="0B245889" w14:textId="7CAE0D03" w:rsidR="00E92243" w:rsidRDefault="002F739B" w:rsidP="00C172A0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lastRenderedPageBreak/>
        <w:t>Hypotheses</w:t>
      </w:r>
    </w:p>
    <w:p w14:paraId="00C6F4FF" w14:textId="77777777" w:rsidR="002F739B" w:rsidRDefault="002F739B" w:rsidP="00C172A0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6284"/>
      </w:tblGrid>
      <w:tr w:rsidR="0078565B" w14:paraId="13239ACD" w14:textId="77777777" w:rsidTr="0078565B">
        <w:tc>
          <w:tcPr>
            <w:tcW w:w="3209" w:type="dxa"/>
          </w:tcPr>
          <w:p w14:paraId="743D3DA3" w14:textId="1A6CBA49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Seasonal variation</w:t>
            </w:r>
          </w:p>
        </w:tc>
        <w:tc>
          <w:tcPr>
            <w:tcW w:w="6284" w:type="dxa"/>
          </w:tcPr>
          <w:p w14:paraId="7243AC45" w14:textId="1863AEFC" w:rsidR="0078565B" w:rsidRPr="002A0D86" w:rsidRDefault="0078565B" w:rsidP="008C2E32">
            <w:pP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Overall: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Less</w:t>
            </w:r>
            <w:r w:rsidRPr="002A0D86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tobacco in January due to New Year’s resolutions and </w:t>
            </w:r>
            <w:r w:rsidR="00EC4015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quit attempts</w:t>
            </w:r>
            <w:r w:rsidRPr="002A0D86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. More tobacco in the summer due to weather and social smoking (active sb users expected to decrease due to summer vacation).</w:t>
            </w:r>
            <w:r w:rsidR="00DE577A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 xml:space="preserve">General decrease over the years </w:t>
            </w:r>
            <w:r w:rsidR="006D2DFF">
              <w:rPr>
                <w:rFonts w:cstheme="minorHAnsi"/>
                <w:sz w:val="20"/>
                <w:szCs w:val="20"/>
                <w:lang w:val="en-US"/>
              </w:rPr>
              <w:t xml:space="preserve">(like for the general population) 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>due to</w:t>
            </w:r>
            <w:r w:rsidR="006D2DFF">
              <w:rPr>
                <w:rFonts w:cstheme="minorHAnsi"/>
                <w:sz w:val="20"/>
                <w:szCs w:val="20"/>
                <w:lang w:val="en-US"/>
              </w:rPr>
              <w:t xml:space="preserve"> increased tobacco prices and </w:t>
            </w:r>
            <w:r w:rsidR="000202A4">
              <w:rPr>
                <w:rFonts w:cstheme="minorHAnsi"/>
                <w:sz w:val="20"/>
                <w:szCs w:val="20"/>
                <w:lang w:val="en-US"/>
              </w:rPr>
              <w:t>increased focus on risk of smoking.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13F72DAE" w14:textId="0E48197D" w:rsidR="0078565B" w:rsidRDefault="0078565B" w:rsidP="008C2E3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Gender: </w:t>
            </w:r>
            <w:r>
              <w:rPr>
                <w:rFonts w:cstheme="minorHAnsi"/>
                <w:sz w:val="20"/>
                <w:szCs w:val="20"/>
                <w:lang w:val="en-US"/>
              </w:rPr>
              <w:t>Same seasonal effect for male</w:t>
            </w:r>
            <w:r w:rsidR="00FD060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FD060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female.</w:t>
            </w:r>
            <w:r w:rsidR="00D721C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6969F2CC" w14:textId="0B60A285" w:rsidR="0078565B" w:rsidRPr="003E0C2B" w:rsidRDefault="0078565B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Age: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Higher increase in January for 40+ due to quit attempts. Higher increase in summer for &lt;40 due to social smoking and summer parties. </w:t>
            </w:r>
          </w:p>
          <w:p w14:paraId="6C729045" w14:textId="682BB74E" w:rsidR="0078565B" w:rsidRPr="006B281E" w:rsidRDefault="0078565B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CVD risk status: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Less tobacco purchases for CVD risk group due to </w:t>
            </w:r>
            <w:r w:rsidR="00E12BF6">
              <w:rPr>
                <w:rFonts w:cstheme="minorHAnsi"/>
                <w:sz w:val="20"/>
                <w:szCs w:val="20"/>
                <w:lang w:val="en-US"/>
              </w:rPr>
              <w:t xml:space="preserve">fear of disease and counseling about </w:t>
            </w:r>
            <w:r w:rsidR="00AF244C">
              <w:rPr>
                <w:rFonts w:cstheme="minorHAnsi"/>
                <w:sz w:val="20"/>
                <w:szCs w:val="20"/>
                <w:lang w:val="en-US"/>
              </w:rPr>
              <w:t>risk of smoking</w:t>
            </w:r>
            <w:r w:rsidR="007D4822">
              <w:rPr>
                <w:rFonts w:cstheme="minorHAnsi"/>
                <w:sz w:val="20"/>
                <w:szCs w:val="20"/>
                <w:lang w:val="en-US"/>
              </w:rPr>
              <w:t>. M</w:t>
            </w:r>
            <w:r w:rsidR="00AF244C">
              <w:rPr>
                <w:rFonts w:cstheme="minorHAnsi"/>
                <w:sz w:val="20"/>
                <w:szCs w:val="20"/>
                <w:lang w:val="en-US"/>
              </w:rPr>
              <w:t>ore tobacco purchases due to</w:t>
            </w:r>
            <w:r w:rsidR="00DC7D93">
              <w:rPr>
                <w:rFonts w:cstheme="minorHAnsi"/>
                <w:sz w:val="20"/>
                <w:szCs w:val="20"/>
                <w:lang w:val="en-US"/>
              </w:rPr>
              <w:t xml:space="preserve"> stress of disease.</w:t>
            </w:r>
          </w:p>
        </w:tc>
      </w:tr>
      <w:tr w:rsidR="0078565B" w:rsidRPr="004D6FAB" w14:paraId="67A432BC" w14:textId="77777777" w:rsidTr="0078565B">
        <w:tc>
          <w:tcPr>
            <w:tcW w:w="3209" w:type="dxa"/>
          </w:tcPr>
          <w:p w14:paraId="57F65CD3" w14:textId="0BA604A7" w:rsidR="0078565B" w:rsidRDefault="00E00259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Tobacco toll</w:t>
            </w:r>
          </w:p>
        </w:tc>
        <w:tc>
          <w:tcPr>
            <w:tcW w:w="6284" w:type="dxa"/>
          </w:tcPr>
          <w:p w14:paraId="27911111" w14:textId="77777777" w:rsidR="002A4F9D" w:rsidRPr="002A4F9D" w:rsidRDefault="002A4F9D" w:rsidP="002A4F9D">
            <w:pP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2A4F9D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Increase in March 2020 due to hoarding before tobacco toll 01 April 2020. </w:t>
            </w:r>
          </w:p>
          <w:p w14:paraId="2153FDE5" w14:textId="7C7B84B4" w:rsidR="0078565B" w:rsidRPr="00D85391" w:rsidRDefault="00D85391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Same effect expected among the different </w:t>
            </w:r>
            <w:r w:rsidR="00DC7D93">
              <w:rPr>
                <w:rFonts w:cstheme="minorHAnsi"/>
                <w:sz w:val="20"/>
                <w:szCs w:val="20"/>
                <w:lang w:val="en-US"/>
              </w:rPr>
              <w:t>subgroups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</w:p>
        </w:tc>
      </w:tr>
      <w:tr w:rsidR="0078565B" w14:paraId="309B2CFD" w14:textId="77777777" w:rsidTr="0078565B">
        <w:tc>
          <w:tcPr>
            <w:tcW w:w="3209" w:type="dxa"/>
          </w:tcPr>
          <w:p w14:paraId="213B56CD" w14:textId="41AAAA64" w:rsidR="0078565B" w:rsidRPr="00E00259" w:rsidRDefault="00E00259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0025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Lockdown in March-May 2020 and Jan-April 2021</w:t>
            </w:r>
          </w:p>
        </w:tc>
        <w:tc>
          <w:tcPr>
            <w:tcW w:w="6284" w:type="dxa"/>
          </w:tcPr>
          <w:p w14:paraId="69C21F1A" w14:textId="0596E481" w:rsidR="0078565B" w:rsidRDefault="000227B8" w:rsidP="00C172A0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Overall: </w:t>
            </w:r>
            <w:r w:rsidRPr="006F3E0C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Increase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d</w:t>
            </w:r>
            <w:r w:rsidRPr="006F3E0C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ue to higher stress levels/no smoke policies when working from home. Decrease due to fear of COVID/window of opportunity to quit/less social smoking. Difficult to say overall, subgroup specific. Might decrease initially, followed by an increase back to same level when people realize that the lockdown is “the new normal”.</w:t>
            </w:r>
          </w:p>
          <w:p w14:paraId="3BE2FC4E" w14:textId="76C52538" w:rsidR="00C51F1F" w:rsidRPr="00C51F1F" w:rsidRDefault="00C51F1F" w:rsidP="00C51F1F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C51F1F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Gender: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Decrease for women due to fear of health, unchanged or increase for men mostly due to stress about financial matters caused by </w:t>
            </w:r>
            <w:r w:rsidR="008E54B0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COVID-19.</w:t>
            </w:r>
          </w:p>
          <w:p w14:paraId="0DF61B80" w14:textId="6D5D0BC9" w:rsidR="00C51F1F" w:rsidRPr="00C51F1F" w:rsidRDefault="00C51F1F" w:rsidP="00C51F1F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C51F1F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Age: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Decrease for 40+ due to fear of COVID-19, and decrease for &lt;40 due to attempts to quit and less social smoking. Increase for &lt;40 due to increased stress and increase for 40+ due to remote </w:t>
            </w:r>
            <w:r w:rsidR="00636147"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workplaces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/isolation.</w:t>
            </w:r>
          </w:p>
          <w:p w14:paraId="7C7DBDA7" w14:textId="30D17A65" w:rsidR="00C51F1F" w:rsidRDefault="00636147" w:rsidP="0063614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CVD risk status: </w:t>
            </w:r>
            <w:r w:rsidR="00286047">
              <w:rPr>
                <w:rFonts w:cstheme="minorHAnsi"/>
                <w:sz w:val="20"/>
                <w:szCs w:val="20"/>
                <w:lang w:val="en-US"/>
              </w:rPr>
              <w:t>Decrease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for CVD risk group due to fear of </w:t>
            </w:r>
            <w:r w:rsidR="00C05951">
              <w:rPr>
                <w:rFonts w:cstheme="minorHAnsi"/>
                <w:sz w:val="20"/>
                <w:szCs w:val="20"/>
                <w:lang w:val="en-US"/>
              </w:rPr>
              <w:t>COVID</w:t>
            </w:r>
            <w:r w:rsidR="003C5C1C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="00E5629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286047">
              <w:rPr>
                <w:rFonts w:cstheme="minorHAnsi"/>
                <w:sz w:val="20"/>
                <w:szCs w:val="20"/>
                <w:lang w:val="en-US"/>
              </w:rPr>
              <w:t>Increase</w:t>
            </w:r>
            <w:r w:rsidR="003C5C1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286047"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due to increased stress</w:t>
            </w:r>
            <w:r w:rsidR="00286047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and isolation. </w:t>
            </w:r>
          </w:p>
        </w:tc>
      </w:tr>
      <w:tr w:rsidR="0078565B" w14:paraId="59ABA12B" w14:textId="77777777" w:rsidTr="0078565B">
        <w:tc>
          <w:tcPr>
            <w:tcW w:w="3209" w:type="dxa"/>
          </w:tcPr>
          <w:p w14:paraId="4C19AA9E" w14:textId="77777777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84" w:type="dxa"/>
          </w:tcPr>
          <w:p w14:paraId="0FB35EE5" w14:textId="77777777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D2E47F4" w14:textId="77777777" w:rsidR="00C172A0" w:rsidRPr="000D25ED" w:rsidRDefault="00C172A0" w:rsidP="00C172A0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sectPr w:rsidR="00C172A0" w:rsidRPr="000D25E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25AF" w14:textId="77777777" w:rsidR="00FF0BC2" w:rsidRDefault="00FF0BC2" w:rsidP="00B403BE">
      <w:pPr>
        <w:spacing w:after="0" w:line="240" w:lineRule="auto"/>
      </w:pPr>
      <w:r>
        <w:separator/>
      </w:r>
    </w:p>
  </w:endnote>
  <w:endnote w:type="continuationSeparator" w:id="0">
    <w:p w14:paraId="3796511B" w14:textId="77777777" w:rsidR="00FF0BC2" w:rsidRDefault="00FF0BC2" w:rsidP="00B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A2A1" w14:textId="77777777" w:rsidR="00FF0BC2" w:rsidRDefault="00FF0BC2" w:rsidP="00B403BE">
      <w:pPr>
        <w:spacing w:after="0" w:line="240" w:lineRule="auto"/>
      </w:pPr>
      <w:r>
        <w:separator/>
      </w:r>
    </w:p>
  </w:footnote>
  <w:footnote w:type="continuationSeparator" w:id="0">
    <w:p w14:paraId="105F9390" w14:textId="77777777" w:rsidR="00FF0BC2" w:rsidRDefault="00FF0BC2" w:rsidP="00B4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4BE4" w14:textId="6B1C87EB" w:rsidR="00B403BE" w:rsidRDefault="00130190">
    <w:pPr>
      <w:pStyle w:val="Sidehoved"/>
    </w:pPr>
    <w:r>
      <w:t>Dat</w:t>
    </w:r>
    <w:r w:rsidR="00A22851">
      <w:t>e</w:t>
    </w:r>
    <w:r>
      <w:t>:</w:t>
    </w:r>
    <w:r w:rsidR="00B403BE">
      <w:t xml:space="preserve"> </w:t>
    </w:r>
    <w:r w:rsidR="002059D5">
      <w:t>1</w:t>
    </w:r>
    <w:r w:rsidR="00CC2E5C">
      <w:t>2</w:t>
    </w:r>
    <w:r w:rsidR="00B403BE">
      <w:t>-</w:t>
    </w:r>
    <w:r w:rsidR="002059D5">
      <w:t>10</w:t>
    </w:r>
    <w:r w:rsidR="00B403BE">
      <w:t>-21</w:t>
    </w:r>
  </w:p>
  <w:p w14:paraId="519D6665" w14:textId="46D24519" w:rsidR="00B403BE" w:rsidRDefault="00B403BE">
    <w:pPr>
      <w:pStyle w:val="Sidehoved"/>
    </w:pPr>
    <w:r>
      <w:t>Emilie</w:t>
    </w:r>
    <w:r w:rsidR="00A22851">
      <w:t xml:space="preserve"> Prang Nielsen</w:t>
    </w:r>
  </w:p>
  <w:p w14:paraId="25E825DB" w14:textId="77777777" w:rsidR="00B403BE" w:rsidRDefault="00B403B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695"/>
    <w:multiLevelType w:val="hybridMultilevel"/>
    <w:tmpl w:val="90D4A428"/>
    <w:lvl w:ilvl="0" w:tplc="122217C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E2DB7"/>
    <w:multiLevelType w:val="hybridMultilevel"/>
    <w:tmpl w:val="40BA75D2"/>
    <w:lvl w:ilvl="0" w:tplc="939EB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7FE0"/>
    <w:multiLevelType w:val="hybridMultilevel"/>
    <w:tmpl w:val="0336AE0A"/>
    <w:lvl w:ilvl="0" w:tplc="6EF89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7DD5"/>
    <w:multiLevelType w:val="hybridMultilevel"/>
    <w:tmpl w:val="CDF81EBA"/>
    <w:lvl w:ilvl="0" w:tplc="8CC007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BE"/>
    <w:rsid w:val="00010B3F"/>
    <w:rsid w:val="0001387F"/>
    <w:rsid w:val="00015213"/>
    <w:rsid w:val="000202A4"/>
    <w:rsid w:val="000227B8"/>
    <w:rsid w:val="00022AB2"/>
    <w:rsid w:val="000235C1"/>
    <w:rsid w:val="00027976"/>
    <w:rsid w:val="0003453B"/>
    <w:rsid w:val="000620F6"/>
    <w:rsid w:val="00066E3B"/>
    <w:rsid w:val="00067368"/>
    <w:rsid w:val="00067B09"/>
    <w:rsid w:val="000724A5"/>
    <w:rsid w:val="00076EFF"/>
    <w:rsid w:val="00081C15"/>
    <w:rsid w:val="0008704E"/>
    <w:rsid w:val="000B48B9"/>
    <w:rsid w:val="000B61D2"/>
    <w:rsid w:val="000B6CE9"/>
    <w:rsid w:val="000B6F25"/>
    <w:rsid w:val="000C316D"/>
    <w:rsid w:val="000D25ED"/>
    <w:rsid w:val="000D76C0"/>
    <w:rsid w:val="000F0990"/>
    <w:rsid w:val="000F1864"/>
    <w:rsid w:val="00103844"/>
    <w:rsid w:val="0011393E"/>
    <w:rsid w:val="00125DB0"/>
    <w:rsid w:val="00130190"/>
    <w:rsid w:val="001568F9"/>
    <w:rsid w:val="00162C76"/>
    <w:rsid w:val="00164F6C"/>
    <w:rsid w:val="00166A4A"/>
    <w:rsid w:val="00171DA1"/>
    <w:rsid w:val="00192378"/>
    <w:rsid w:val="00195398"/>
    <w:rsid w:val="001A32F1"/>
    <w:rsid w:val="001A5C94"/>
    <w:rsid w:val="001B120D"/>
    <w:rsid w:val="001B4ACB"/>
    <w:rsid w:val="001C085A"/>
    <w:rsid w:val="001D036A"/>
    <w:rsid w:val="001D1908"/>
    <w:rsid w:val="001E02C0"/>
    <w:rsid w:val="001F66B9"/>
    <w:rsid w:val="0020495B"/>
    <w:rsid w:val="002059D5"/>
    <w:rsid w:val="00215E68"/>
    <w:rsid w:val="002168D5"/>
    <w:rsid w:val="00225A20"/>
    <w:rsid w:val="00234AB1"/>
    <w:rsid w:val="00235D66"/>
    <w:rsid w:val="0023666E"/>
    <w:rsid w:val="00251BE1"/>
    <w:rsid w:val="00252779"/>
    <w:rsid w:val="00253EC4"/>
    <w:rsid w:val="00254AF7"/>
    <w:rsid w:val="0027146E"/>
    <w:rsid w:val="00272463"/>
    <w:rsid w:val="0027386E"/>
    <w:rsid w:val="00286047"/>
    <w:rsid w:val="00287505"/>
    <w:rsid w:val="002A042A"/>
    <w:rsid w:val="002A0D86"/>
    <w:rsid w:val="002A4F9D"/>
    <w:rsid w:val="002A5885"/>
    <w:rsid w:val="002D38C9"/>
    <w:rsid w:val="002D446A"/>
    <w:rsid w:val="002D70FA"/>
    <w:rsid w:val="002E3D56"/>
    <w:rsid w:val="002F356B"/>
    <w:rsid w:val="002F739B"/>
    <w:rsid w:val="002F7EB0"/>
    <w:rsid w:val="00300B39"/>
    <w:rsid w:val="003057FC"/>
    <w:rsid w:val="00313663"/>
    <w:rsid w:val="00315D91"/>
    <w:rsid w:val="00325F88"/>
    <w:rsid w:val="00337EEF"/>
    <w:rsid w:val="00343FEF"/>
    <w:rsid w:val="00360AC7"/>
    <w:rsid w:val="00367A07"/>
    <w:rsid w:val="0037265C"/>
    <w:rsid w:val="00375D98"/>
    <w:rsid w:val="00376A69"/>
    <w:rsid w:val="003814D7"/>
    <w:rsid w:val="00391C9D"/>
    <w:rsid w:val="003932C8"/>
    <w:rsid w:val="003950B9"/>
    <w:rsid w:val="003A4B25"/>
    <w:rsid w:val="003A729B"/>
    <w:rsid w:val="003C5C1C"/>
    <w:rsid w:val="003C5E98"/>
    <w:rsid w:val="003D24B1"/>
    <w:rsid w:val="003D381E"/>
    <w:rsid w:val="003E0C2B"/>
    <w:rsid w:val="003E5F8C"/>
    <w:rsid w:val="003F6067"/>
    <w:rsid w:val="004000A0"/>
    <w:rsid w:val="00404579"/>
    <w:rsid w:val="00410BCA"/>
    <w:rsid w:val="00414A47"/>
    <w:rsid w:val="00416973"/>
    <w:rsid w:val="004241B5"/>
    <w:rsid w:val="0042634A"/>
    <w:rsid w:val="004301CD"/>
    <w:rsid w:val="00443BFC"/>
    <w:rsid w:val="00443C7F"/>
    <w:rsid w:val="004450B2"/>
    <w:rsid w:val="004502A7"/>
    <w:rsid w:val="004518C2"/>
    <w:rsid w:val="00454773"/>
    <w:rsid w:val="0045504C"/>
    <w:rsid w:val="00456A41"/>
    <w:rsid w:val="004600DD"/>
    <w:rsid w:val="00463741"/>
    <w:rsid w:val="004650CE"/>
    <w:rsid w:val="00471F18"/>
    <w:rsid w:val="00473069"/>
    <w:rsid w:val="00476093"/>
    <w:rsid w:val="0048081D"/>
    <w:rsid w:val="004836A0"/>
    <w:rsid w:val="004B082B"/>
    <w:rsid w:val="004C2E8A"/>
    <w:rsid w:val="004D051F"/>
    <w:rsid w:val="004D6FAB"/>
    <w:rsid w:val="004F6743"/>
    <w:rsid w:val="004F6FBE"/>
    <w:rsid w:val="00503D1B"/>
    <w:rsid w:val="0051404B"/>
    <w:rsid w:val="00521D04"/>
    <w:rsid w:val="005252A9"/>
    <w:rsid w:val="005275D2"/>
    <w:rsid w:val="005361C5"/>
    <w:rsid w:val="005504B8"/>
    <w:rsid w:val="005550B3"/>
    <w:rsid w:val="0056212F"/>
    <w:rsid w:val="005627B6"/>
    <w:rsid w:val="00571B11"/>
    <w:rsid w:val="00572A18"/>
    <w:rsid w:val="00594801"/>
    <w:rsid w:val="005950FF"/>
    <w:rsid w:val="005A2B9D"/>
    <w:rsid w:val="005A6E9C"/>
    <w:rsid w:val="005C72F5"/>
    <w:rsid w:val="005D42B2"/>
    <w:rsid w:val="005D62E8"/>
    <w:rsid w:val="005D6342"/>
    <w:rsid w:val="005E2877"/>
    <w:rsid w:val="005E7622"/>
    <w:rsid w:val="005F0516"/>
    <w:rsid w:val="005F27EF"/>
    <w:rsid w:val="005F7E37"/>
    <w:rsid w:val="006011DE"/>
    <w:rsid w:val="00601BEB"/>
    <w:rsid w:val="00611FF6"/>
    <w:rsid w:val="00636147"/>
    <w:rsid w:val="00640418"/>
    <w:rsid w:val="00643113"/>
    <w:rsid w:val="0065293D"/>
    <w:rsid w:val="00664B81"/>
    <w:rsid w:val="00675628"/>
    <w:rsid w:val="00681A7E"/>
    <w:rsid w:val="006942DD"/>
    <w:rsid w:val="006959AF"/>
    <w:rsid w:val="00697B12"/>
    <w:rsid w:val="006B0F07"/>
    <w:rsid w:val="006B281E"/>
    <w:rsid w:val="006C184E"/>
    <w:rsid w:val="006C2B0B"/>
    <w:rsid w:val="006C6FC2"/>
    <w:rsid w:val="006C7B16"/>
    <w:rsid w:val="006D2DFF"/>
    <w:rsid w:val="006D6298"/>
    <w:rsid w:val="006E13A4"/>
    <w:rsid w:val="006E66C7"/>
    <w:rsid w:val="006F0EB2"/>
    <w:rsid w:val="006F3E0C"/>
    <w:rsid w:val="006F470B"/>
    <w:rsid w:val="00707730"/>
    <w:rsid w:val="00711032"/>
    <w:rsid w:val="0071729E"/>
    <w:rsid w:val="0071771E"/>
    <w:rsid w:val="00720004"/>
    <w:rsid w:val="00724793"/>
    <w:rsid w:val="007263CC"/>
    <w:rsid w:val="007325B0"/>
    <w:rsid w:val="00733073"/>
    <w:rsid w:val="0073606C"/>
    <w:rsid w:val="007425D7"/>
    <w:rsid w:val="007467D0"/>
    <w:rsid w:val="00762C7E"/>
    <w:rsid w:val="007639AB"/>
    <w:rsid w:val="00773050"/>
    <w:rsid w:val="00774ED8"/>
    <w:rsid w:val="00781FE3"/>
    <w:rsid w:val="0078565B"/>
    <w:rsid w:val="007966B7"/>
    <w:rsid w:val="00797A06"/>
    <w:rsid w:val="007A019B"/>
    <w:rsid w:val="007A20EE"/>
    <w:rsid w:val="007A4A01"/>
    <w:rsid w:val="007B4F73"/>
    <w:rsid w:val="007C02B7"/>
    <w:rsid w:val="007C56E8"/>
    <w:rsid w:val="007C7EC3"/>
    <w:rsid w:val="007D4822"/>
    <w:rsid w:val="007E49D2"/>
    <w:rsid w:val="007E6B98"/>
    <w:rsid w:val="007F7B2C"/>
    <w:rsid w:val="008013B6"/>
    <w:rsid w:val="00804587"/>
    <w:rsid w:val="00812769"/>
    <w:rsid w:val="00813EF2"/>
    <w:rsid w:val="00814D8B"/>
    <w:rsid w:val="00816029"/>
    <w:rsid w:val="008170E0"/>
    <w:rsid w:val="0081785E"/>
    <w:rsid w:val="008207DD"/>
    <w:rsid w:val="00825DCE"/>
    <w:rsid w:val="0082725A"/>
    <w:rsid w:val="00840895"/>
    <w:rsid w:val="00845FD9"/>
    <w:rsid w:val="0085302D"/>
    <w:rsid w:val="00867D48"/>
    <w:rsid w:val="00877971"/>
    <w:rsid w:val="00877F10"/>
    <w:rsid w:val="00885DFC"/>
    <w:rsid w:val="008865F0"/>
    <w:rsid w:val="00894435"/>
    <w:rsid w:val="00895BF3"/>
    <w:rsid w:val="008A2B96"/>
    <w:rsid w:val="008A4852"/>
    <w:rsid w:val="008C2E32"/>
    <w:rsid w:val="008E2FF6"/>
    <w:rsid w:val="008E54B0"/>
    <w:rsid w:val="008F21A1"/>
    <w:rsid w:val="008F7230"/>
    <w:rsid w:val="009115BD"/>
    <w:rsid w:val="00921391"/>
    <w:rsid w:val="009240BA"/>
    <w:rsid w:val="00946DF0"/>
    <w:rsid w:val="0095602B"/>
    <w:rsid w:val="00971336"/>
    <w:rsid w:val="00976256"/>
    <w:rsid w:val="00982FEA"/>
    <w:rsid w:val="00983BD0"/>
    <w:rsid w:val="00985FEE"/>
    <w:rsid w:val="00992E87"/>
    <w:rsid w:val="00993D3A"/>
    <w:rsid w:val="0099717D"/>
    <w:rsid w:val="009A0C44"/>
    <w:rsid w:val="009A7508"/>
    <w:rsid w:val="009A7BBA"/>
    <w:rsid w:val="009E2BAB"/>
    <w:rsid w:val="009E7367"/>
    <w:rsid w:val="00A06045"/>
    <w:rsid w:val="00A1746C"/>
    <w:rsid w:val="00A201CF"/>
    <w:rsid w:val="00A22851"/>
    <w:rsid w:val="00A343A2"/>
    <w:rsid w:val="00A40AAE"/>
    <w:rsid w:val="00A41E0F"/>
    <w:rsid w:val="00A4291E"/>
    <w:rsid w:val="00A50AE8"/>
    <w:rsid w:val="00A62677"/>
    <w:rsid w:val="00A6481F"/>
    <w:rsid w:val="00A652D9"/>
    <w:rsid w:val="00A71071"/>
    <w:rsid w:val="00A73951"/>
    <w:rsid w:val="00A7659E"/>
    <w:rsid w:val="00A80894"/>
    <w:rsid w:val="00A826F4"/>
    <w:rsid w:val="00A84EF0"/>
    <w:rsid w:val="00A86DB6"/>
    <w:rsid w:val="00A93679"/>
    <w:rsid w:val="00A944DF"/>
    <w:rsid w:val="00AA5FAA"/>
    <w:rsid w:val="00AA7F1A"/>
    <w:rsid w:val="00AB21B9"/>
    <w:rsid w:val="00AC2BB3"/>
    <w:rsid w:val="00AD151D"/>
    <w:rsid w:val="00AD19C5"/>
    <w:rsid w:val="00AD25CB"/>
    <w:rsid w:val="00AE09BF"/>
    <w:rsid w:val="00AE0C69"/>
    <w:rsid w:val="00AE3685"/>
    <w:rsid w:val="00AE55C3"/>
    <w:rsid w:val="00AF244C"/>
    <w:rsid w:val="00AF4FCB"/>
    <w:rsid w:val="00AF56E8"/>
    <w:rsid w:val="00AF73C4"/>
    <w:rsid w:val="00B04EEE"/>
    <w:rsid w:val="00B14317"/>
    <w:rsid w:val="00B403BE"/>
    <w:rsid w:val="00B4541D"/>
    <w:rsid w:val="00B45B59"/>
    <w:rsid w:val="00B46442"/>
    <w:rsid w:val="00B624AD"/>
    <w:rsid w:val="00B74483"/>
    <w:rsid w:val="00B90F56"/>
    <w:rsid w:val="00B939A1"/>
    <w:rsid w:val="00BA2CE9"/>
    <w:rsid w:val="00BB28A3"/>
    <w:rsid w:val="00BD3BAC"/>
    <w:rsid w:val="00BE3A86"/>
    <w:rsid w:val="00BF1526"/>
    <w:rsid w:val="00C04157"/>
    <w:rsid w:val="00C057D4"/>
    <w:rsid w:val="00C05951"/>
    <w:rsid w:val="00C10F07"/>
    <w:rsid w:val="00C15F8D"/>
    <w:rsid w:val="00C172A0"/>
    <w:rsid w:val="00C42FB0"/>
    <w:rsid w:val="00C4452D"/>
    <w:rsid w:val="00C51F1F"/>
    <w:rsid w:val="00C53024"/>
    <w:rsid w:val="00C54330"/>
    <w:rsid w:val="00C54F71"/>
    <w:rsid w:val="00C56220"/>
    <w:rsid w:val="00C60081"/>
    <w:rsid w:val="00C671C6"/>
    <w:rsid w:val="00C76597"/>
    <w:rsid w:val="00C8455C"/>
    <w:rsid w:val="00C96217"/>
    <w:rsid w:val="00CA3B50"/>
    <w:rsid w:val="00CB6917"/>
    <w:rsid w:val="00CB6A6D"/>
    <w:rsid w:val="00CC2E5C"/>
    <w:rsid w:val="00CC5306"/>
    <w:rsid w:val="00CD31D7"/>
    <w:rsid w:val="00CD7033"/>
    <w:rsid w:val="00CF11A7"/>
    <w:rsid w:val="00D00DB1"/>
    <w:rsid w:val="00D03633"/>
    <w:rsid w:val="00D04D38"/>
    <w:rsid w:val="00D069A0"/>
    <w:rsid w:val="00D17D82"/>
    <w:rsid w:val="00D206AE"/>
    <w:rsid w:val="00D25FFD"/>
    <w:rsid w:val="00D30DE9"/>
    <w:rsid w:val="00D34C84"/>
    <w:rsid w:val="00D531F1"/>
    <w:rsid w:val="00D54A04"/>
    <w:rsid w:val="00D6365E"/>
    <w:rsid w:val="00D721CA"/>
    <w:rsid w:val="00D85391"/>
    <w:rsid w:val="00DA248B"/>
    <w:rsid w:val="00DA42E2"/>
    <w:rsid w:val="00DA6998"/>
    <w:rsid w:val="00DB141E"/>
    <w:rsid w:val="00DC1463"/>
    <w:rsid w:val="00DC7D93"/>
    <w:rsid w:val="00DD5AE5"/>
    <w:rsid w:val="00DD60F9"/>
    <w:rsid w:val="00DE2A6C"/>
    <w:rsid w:val="00DE4C66"/>
    <w:rsid w:val="00DE577A"/>
    <w:rsid w:val="00DE697D"/>
    <w:rsid w:val="00DF58CE"/>
    <w:rsid w:val="00DF71AC"/>
    <w:rsid w:val="00DF799C"/>
    <w:rsid w:val="00E00259"/>
    <w:rsid w:val="00E10680"/>
    <w:rsid w:val="00E11444"/>
    <w:rsid w:val="00E12BF6"/>
    <w:rsid w:val="00E153AB"/>
    <w:rsid w:val="00E1621C"/>
    <w:rsid w:val="00E30DD7"/>
    <w:rsid w:val="00E36C27"/>
    <w:rsid w:val="00E40BAF"/>
    <w:rsid w:val="00E47056"/>
    <w:rsid w:val="00E50A76"/>
    <w:rsid w:val="00E541A1"/>
    <w:rsid w:val="00E5420D"/>
    <w:rsid w:val="00E5629F"/>
    <w:rsid w:val="00E56502"/>
    <w:rsid w:val="00E61805"/>
    <w:rsid w:val="00E63573"/>
    <w:rsid w:val="00E638A3"/>
    <w:rsid w:val="00E70179"/>
    <w:rsid w:val="00E706E4"/>
    <w:rsid w:val="00E71D6D"/>
    <w:rsid w:val="00E81958"/>
    <w:rsid w:val="00E83934"/>
    <w:rsid w:val="00E86B53"/>
    <w:rsid w:val="00E92243"/>
    <w:rsid w:val="00E954FE"/>
    <w:rsid w:val="00EA6AA7"/>
    <w:rsid w:val="00EA7259"/>
    <w:rsid w:val="00EB3595"/>
    <w:rsid w:val="00EC2E78"/>
    <w:rsid w:val="00EC4015"/>
    <w:rsid w:val="00ED0BE1"/>
    <w:rsid w:val="00ED31E3"/>
    <w:rsid w:val="00ED73AC"/>
    <w:rsid w:val="00EE2149"/>
    <w:rsid w:val="00EE78EE"/>
    <w:rsid w:val="00EF14A8"/>
    <w:rsid w:val="00EF1BA5"/>
    <w:rsid w:val="00F05057"/>
    <w:rsid w:val="00F05653"/>
    <w:rsid w:val="00F131C7"/>
    <w:rsid w:val="00F13DA5"/>
    <w:rsid w:val="00F15946"/>
    <w:rsid w:val="00F21A12"/>
    <w:rsid w:val="00F23BF0"/>
    <w:rsid w:val="00F31754"/>
    <w:rsid w:val="00F341C0"/>
    <w:rsid w:val="00F346C2"/>
    <w:rsid w:val="00F400E3"/>
    <w:rsid w:val="00F40AF4"/>
    <w:rsid w:val="00F42076"/>
    <w:rsid w:val="00F44068"/>
    <w:rsid w:val="00F45FB6"/>
    <w:rsid w:val="00F46D13"/>
    <w:rsid w:val="00F50CCE"/>
    <w:rsid w:val="00F545CB"/>
    <w:rsid w:val="00F56F81"/>
    <w:rsid w:val="00F62D09"/>
    <w:rsid w:val="00F663EF"/>
    <w:rsid w:val="00F71223"/>
    <w:rsid w:val="00F73DB7"/>
    <w:rsid w:val="00F86EB3"/>
    <w:rsid w:val="00F9436E"/>
    <w:rsid w:val="00F963FC"/>
    <w:rsid w:val="00FA3CE5"/>
    <w:rsid w:val="00FB380B"/>
    <w:rsid w:val="00FC119C"/>
    <w:rsid w:val="00FC4293"/>
    <w:rsid w:val="00FC7BF5"/>
    <w:rsid w:val="00FD0605"/>
    <w:rsid w:val="00FD1BC7"/>
    <w:rsid w:val="00FD4ECD"/>
    <w:rsid w:val="00FD7A9E"/>
    <w:rsid w:val="00FE3545"/>
    <w:rsid w:val="00FE5628"/>
    <w:rsid w:val="00FF0BC2"/>
    <w:rsid w:val="00FF40A9"/>
    <w:rsid w:val="00FF40E9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586D"/>
  <w15:chartTrackingRefBased/>
  <w15:docId w15:val="{5C1B7A5F-97A7-4ADE-9FD6-5BA7546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86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403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03BE"/>
  </w:style>
  <w:style w:type="paragraph" w:styleId="Sidefod">
    <w:name w:val="footer"/>
    <w:basedOn w:val="Normal"/>
    <w:link w:val="SidefodTegn"/>
    <w:uiPriority w:val="99"/>
    <w:unhideWhenUsed/>
    <w:rsid w:val="00B403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03BE"/>
  </w:style>
  <w:style w:type="paragraph" w:styleId="Listeafsnit">
    <w:name w:val="List Paragraph"/>
    <w:basedOn w:val="Normal"/>
    <w:uiPriority w:val="34"/>
    <w:qFormat/>
    <w:rsid w:val="00B403B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85FEE"/>
    <w:rPr>
      <w:color w:val="0563C1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6DB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9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F62D09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E1621C"/>
    <w:rPr>
      <w:color w:val="808080"/>
    </w:rPr>
  </w:style>
  <w:style w:type="table" w:styleId="Tabel-Gitter">
    <w:name w:val="Table Grid"/>
    <w:basedOn w:val="Tabel-Normal"/>
    <w:uiPriority w:val="39"/>
    <w:rsid w:val="00FA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3691-F3CA-4110-AA43-7A79ABA0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767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Prang Nielsen</dc:creator>
  <cp:keywords/>
  <dc:description/>
  <cp:lastModifiedBy>Emilie Prang Nielsen</cp:lastModifiedBy>
  <cp:revision>436</cp:revision>
  <dcterms:created xsi:type="dcterms:W3CDTF">2021-09-13T07:11:00Z</dcterms:created>
  <dcterms:modified xsi:type="dcterms:W3CDTF">2021-11-15T14:33:00Z</dcterms:modified>
</cp:coreProperties>
</file>