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PingFang TC" w:hAnsi="PingFang TC" w:eastAsia="PingFang TC"/>
          <w:b/>
          <w:i w:val="0"/>
          <w:color w:val="566F5B"/>
          <w:sz w:val="23"/>
        </w:rPr>
        <w:t>人米犬頁製作 團長／創始人</w:t>
      </w:r>
    </w:p>
    <w:p>
      <w:pPr>
        <w:spacing w:before="0" w:after="80" w:line="300" w:lineRule="auto"/>
        <w:jc w:val="center"/>
      </w:pPr>
      <w:r>
        <w:rPr>
          <w:rFonts w:ascii="PingFang TC" w:hAnsi="PingFang TC" w:eastAsia="PingFang TC"/>
          <w:b/>
          <w:i w:val="0"/>
          <w:color w:val="20262A"/>
          <w:sz w:val="48"/>
        </w:rPr>
        <w:t>舞蹈藝術家／編舞家履歷</w:t>
      </w:r>
    </w:p>
    <w:p>
      <w:pPr>
        <w:spacing w:before="0" w:after="280" w:line="300" w:lineRule="auto"/>
        <w:jc w:val="center"/>
        <w:pBdr>
          <w:bottom w:val="single" w:sz="10" w:space="6" w:color="566F5B"/>
        </w:pBdr>
      </w:pPr>
      <w:r>
        <w:rPr>
          <w:rFonts w:ascii="PingFang TC" w:hAnsi="PingFang TC" w:eastAsia="PingFang TC"/>
          <w:b w:val="0"/>
          <w:i/>
          <w:color w:val="606562"/>
          <w:sz w:val="20"/>
        </w:rPr>
        <w:t>Pudgala Body &amp; Sound Production｜Dancer / Choreographer / Artistic Director</w:t>
      </w:r>
    </w:p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4" w:space="0" w:color="C8D2C8"/>
          <w:left w:val="single" w:sz="4" w:space="0" w:color="C8D2C8"/>
          <w:bottom w:val="single" w:sz="4" w:space="0" w:color="C8D2C8"/>
          <w:right w:val="single" w:sz="4" w:space="0" w:color="C8D2C8"/>
          <w:insideH w:val="single" w:sz="4" w:space="0" w:color="C8D2C8"/>
          <w:insideV w:val="single" w:sz="4" w:space="0" w:color="C8D2C8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110" w:type="dxa"/>
              <w:bottom w:w="110" w:type="dxa"/>
              <w:start w:w="140" w:type="dxa"/>
              <w:end w:w="140" w:type="dxa"/>
            </w:tcMar>
            <w:vAlign w:val="center"/>
            <w:shd w:fill="EEF2ED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/>
                <w:i w:val="0"/>
                <w:color w:val="566F5B"/>
                <w:sz w:val="19"/>
              </w:rPr>
              <w:t>身分</w:t>
            </w:r>
          </w:p>
        </w:tc>
        <w:tc>
          <w:tcPr>
            <w:tcW w:type="dxa" w:w="7460"/>
            <w:tcMar>
              <w:top w:w="110" w:type="dxa"/>
              <w:bottom w:w="11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20"/>
              </w:rPr>
              <w:t>人米犬頁製作團長／創始人；舞蹈藝術家、編舞家</w:t>
            </w:r>
          </w:p>
        </w:tc>
      </w:tr>
      <w:tr>
        <w:tc>
          <w:tcPr>
            <w:tcW w:type="dxa" w:w="1900"/>
            <w:tcMar>
              <w:top w:w="110" w:type="dxa"/>
              <w:bottom w:w="110" w:type="dxa"/>
              <w:start w:w="140" w:type="dxa"/>
              <w:end w:w="140" w:type="dxa"/>
            </w:tcMar>
            <w:vAlign w:val="center"/>
            <w:shd w:fill="EEF2ED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/>
                <w:i w:val="0"/>
                <w:color w:val="566F5B"/>
                <w:sz w:val="19"/>
              </w:rPr>
              <w:t>團隊</w:t>
            </w:r>
          </w:p>
        </w:tc>
        <w:tc>
          <w:tcPr>
            <w:tcW w:type="dxa" w:w="7460"/>
            <w:tcMar>
              <w:top w:w="110" w:type="dxa"/>
              <w:bottom w:w="11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20"/>
              </w:rPr>
              <w:t>人米犬頁製作 Pudgala Body &amp; Sound Production</w:t>
            </w:r>
          </w:p>
        </w:tc>
      </w:tr>
      <w:tr>
        <w:tc>
          <w:tcPr>
            <w:tcW w:type="dxa" w:w="1900"/>
            <w:tcMar>
              <w:top w:w="110" w:type="dxa"/>
              <w:bottom w:w="110" w:type="dxa"/>
              <w:start w:w="140" w:type="dxa"/>
              <w:end w:w="140" w:type="dxa"/>
            </w:tcMar>
            <w:vAlign w:val="center"/>
            <w:shd w:fill="EEF2ED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/>
                <w:i w:val="0"/>
                <w:color w:val="566F5B"/>
                <w:sz w:val="19"/>
              </w:rPr>
              <w:t>創作語彙</w:t>
            </w:r>
          </w:p>
        </w:tc>
        <w:tc>
          <w:tcPr>
            <w:tcW w:type="dxa" w:w="7460"/>
            <w:tcMar>
              <w:top w:w="110" w:type="dxa"/>
              <w:bottom w:w="11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20"/>
              </w:rPr>
              <w:t>舞蹈、聲音、即興、儀式結構、現地製作、環境與文化回應</w:t>
            </w:r>
          </w:p>
        </w:tc>
      </w:tr>
      <w:tr>
        <w:tc>
          <w:tcPr>
            <w:tcW w:type="dxa" w:w="1900"/>
            <w:tcMar>
              <w:top w:w="110" w:type="dxa"/>
              <w:bottom w:w="110" w:type="dxa"/>
              <w:start w:w="140" w:type="dxa"/>
              <w:end w:w="140" w:type="dxa"/>
            </w:tcMar>
            <w:vAlign w:val="center"/>
            <w:shd w:fill="EEF2ED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/>
                <w:i w:val="0"/>
                <w:color w:val="566F5B"/>
                <w:sz w:val="19"/>
              </w:rPr>
              <w:t>作品集</w:t>
            </w:r>
          </w:p>
        </w:tc>
        <w:tc>
          <w:tcPr>
            <w:tcW w:type="dxa" w:w="7460"/>
            <w:tcMar>
              <w:top w:w="110" w:type="dxa"/>
              <w:bottom w:w="11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20"/>
              </w:rPr>
              <w:t>https://reurl.cc/R9ex6g</w:t>
            </w:r>
          </w:p>
        </w:tc>
      </w:tr>
    </w:tbl>
    <w:p>
      <w:pPr>
        <w:keepNext/>
        <w:spacing w:before="360" w:after="200" w:line="276" w:lineRule="auto"/>
      </w:pPr>
      <w:r>
        <w:rPr>
          <w:rFonts w:ascii="PingFang TC" w:hAnsi="PingFang TC" w:eastAsia="PingFang TC"/>
          <w:b/>
          <w:i w:val="0"/>
          <w:color w:val="2E74B5"/>
          <w:sz w:val="32"/>
        </w:rPr>
        <w:t>藝術定位</w:t>
      </w:r>
    </w:p>
    <w:p>
      <w:pPr>
        <w:spacing w:before="0" w:after="160" w:line="307" w:lineRule="auto"/>
      </w:pPr>
      <w:r>
        <w:rPr>
          <w:rFonts w:ascii="PingFang TC" w:hAnsi="PingFang TC" w:eastAsia="PingFang TC"/>
          <w:b w:val="0"/>
          <w:i w:val="0"/>
          <w:color w:val="20262A"/>
          <w:sz w:val="21"/>
        </w:rPr>
        <w:t>以舞蹈為核心，結合聲音、即興演出、儀式結構與現地製作，持續探索身體語言在自然、歷史場域與當代文化之間的轉譯。創作常從土地、環境與文化記憶出發，透過細膩的視覺與肢體編排，建立沉浸式的美學經驗，並在物質與非物質之間尋找可被身體感知的時間與空間。</w:t>
      </w:r>
    </w:p>
    <w:p>
      <w:pPr>
        <w:keepNext/>
        <w:spacing w:before="360" w:after="200" w:line="276" w:lineRule="auto"/>
      </w:pPr>
      <w:r>
        <w:rPr>
          <w:rFonts w:ascii="PingFang TC" w:hAnsi="PingFang TC" w:eastAsia="PingFang TC"/>
          <w:b/>
          <w:i w:val="0"/>
          <w:color w:val="2E74B5"/>
          <w:sz w:val="32"/>
        </w:rPr>
        <w:t>核心能力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編舞、舞蹈演出、即興創作與身體訓練設計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現地製作、歷史場域與自然環境中的表演構成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儀式性結構、聲響／身體劇場與跨域藝術合作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小型團隊製作、演出行政、節目提案與創作統籌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將傳統文化、地方脈絡與當代表演語彙轉化為作品結構</w:t>
      </w:r>
    </w:p>
    <w:p>
      <w:pPr>
        <w:keepNext/>
        <w:spacing w:before="360" w:after="200" w:line="276" w:lineRule="auto"/>
      </w:pPr>
      <w:r>
        <w:rPr>
          <w:rFonts w:ascii="PingFang TC" w:hAnsi="PingFang TC" w:eastAsia="PingFang TC"/>
          <w:b/>
          <w:i w:val="0"/>
          <w:color w:val="2E74B5"/>
          <w:sz w:val="32"/>
        </w:rPr>
        <w:t>團隊簡介</w:t>
      </w:r>
    </w:p>
    <w:p>
      <w:pPr>
        <w:spacing w:before="0" w:after="160" w:line="307" w:lineRule="auto"/>
      </w:pPr>
      <w:r>
        <w:rPr>
          <w:rFonts w:ascii="PingFang TC" w:hAnsi="PingFang TC" w:eastAsia="PingFang TC"/>
          <w:b w:val="0"/>
          <w:i w:val="0"/>
          <w:color w:val="20262A"/>
          <w:sz w:val="21"/>
        </w:rPr>
        <w:t>人米犬頁製作成立於 2020 年，以原創舞作《虎刺梅》首次亮相，並於 2024 年正式立案。團隊以舞蹈為核心，結合聲音、即興演出與多元藝術形式，關注傳統與當代之間的轉譯，致力於從儀式結構中發展對時間、空間與身體的詮釋。</w:t>
      </w:r>
    </w:p>
    <w:p>
      <w:pPr>
        <w:keepNext/>
        <w:spacing w:before="360" w:after="200" w:line="276" w:lineRule="auto"/>
      </w:pPr>
      <w:r>
        <w:rPr>
          <w:rFonts w:ascii="PingFang TC" w:hAnsi="PingFang TC" w:eastAsia="PingFang TC"/>
          <w:b/>
          <w:i w:val="0"/>
          <w:color w:val="2E74B5"/>
          <w:sz w:val="32"/>
        </w:rPr>
        <w:t>代表作品／演出紀錄</w:t>
      </w:r>
    </w:p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4" w:space="0" w:color="C8D2C8"/>
          <w:left w:val="single" w:sz="4" w:space="0" w:color="C8D2C8"/>
          <w:bottom w:val="single" w:sz="4" w:space="0" w:color="C8D2C8"/>
          <w:right w:val="single" w:sz="4" w:space="0" w:color="C8D2C8"/>
          <w:insideH w:val="single" w:sz="4" w:space="0" w:color="C8D2C8"/>
          <w:insideV w:val="single" w:sz="4" w:space="0" w:color="C8D2C8"/>
        </w:tblBorders>
      </w:tblPr>
      <w:tblGrid>
        <w:gridCol w:w="1000"/>
        <w:gridCol w:w="2900"/>
        <w:gridCol w:w="5460"/>
      </w:tblGrid>
      <w:tr>
        <w:tc>
          <w:tcPr>
            <w:tcW w:type="dxa" w:w="1000"/>
            <w:shd w:fill="EEF2ED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i w:val="0"/>
                <w:color w:val="566F5B"/>
                <w:sz w:val="19"/>
              </w:rPr>
              <w:t>年份</w:t>
            </w:r>
          </w:p>
        </w:tc>
        <w:tc>
          <w:tcPr>
            <w:tcW w:type="dxa" w:w="2900"/>
            <w:shd w:fill="EEF2ED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i w:val="0"/>
                <w:color w:val="566F5B"/>
                <w:sz w:val="19"/>
              </w:rPr>
              <w:t>作品</w:t>
            </w:r>
          </w:p>
        </w:tc>
        <w:tc>
          <w:tcPr>
            <w:tcW w:type="dxa" w:w="5460"/>
            <w:shd w:fill="EEF2ED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i w:val="0"/>
                <w:color w:val="566F5B"/>
                <w:sz w:val="19"/>
              </w:rPr>
              <w:t>場合／說明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2026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《織繩界 Beneath》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人米犬頁製作台北首度劇場舞作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2025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《蛹塚》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受邀白晝之夜《花蟲弄》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2025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《虎刺梅X鹿野神社》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受邀製作臺東藝穗節「特色節目回放計劃」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2025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開幕儀式演出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鴻梅國際藝術村開幕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2025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《摺音 OriOto》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冥丁臺北專場｜地衣荒物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2024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《花蟲弄》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人米犬頁製作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2024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《城市轍跡》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全國古蹟日開幕儀式／臺北地景公共藝術計劃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2024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《舞行六識》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藝起 Fun 礁溪「舞 Chill」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2023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《幽嶼時祭》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基隆城市劇場行動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2023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《舞·藥師儀式肢體聲響劇場》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大稻埕本草派對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2022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《虎刺梅X鹿野神社》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臺東藝穗節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2022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《虎刺梅X礁溪》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藝起 Fun 礁溪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2021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《驁鹿》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艋舺國際舞蹈節</w:t>
            </w:r>
          </w:p>
        </w:tc>
      </w:tr>
      <w:tr>
        <w:tc>
          <w:tcPr>
            <w:tcW w:type="dxa" w:w="10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2020</w:t>
            </w:r>
          </w:p>
        </w:tc>
        <w:tc>
          <w:tcPr>
            <w:tcW w:type="dxa" w:w="290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/>
                <w:i w:val="0"/>
                <w:color w:val="20262A"/>
                <w:sz w:val="18"/>
              </w:rPr>
              <w:t>《虎刺梅》系列</w:t>
            </w:r>
          </w:p>
        </w:tc>
        <w:tc>
          <w:tcPr>
            <w:tcW w:type="dxa" w:w="5460"/>
            <w:tcMar>
              <w:top w:w="85" w:type="dxa"/>
              <w:bottom w:w="8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PingFang TC" w:hAnsi="PingFang TC" w:eastAsia="PingFang TC"/>
                <w:b w:val="0"/>
                <w:i w:val="0"/>
                <w:color w:val="20262A"/>
                <w:sz w:val="18"/>
              </w:rPr>
              <w:t>臺北藝穗節、信義誠品會員之夜、優人神鼓「閾」</w:t>
            </w:r>
          </w:p>
        </w:tc>
      </w:tr>
    </w:tbl>
    <w:p>
      <w:r>
        <w:br w:type="page"/>
      </w:r>
    </w:p>
    <w:p>
      <w:pPr>
        <w:keepNext/>
        <w:spacing w:before="360" w:after="200" w:line="276" w:lineRule="auto"/>
      </w:pPr>
      <w:r>
        <w:rPr>
          <w:rFonts w:ascii="PingFang TC" w:hAnsi="PingFang TC" w:eastAsia="PingFang TC"/>
          <w:b/>
          <w:i w:val="0"/>
          <w:color w:val="2E74B5"/>
          <w:sz w:val="32"/>
        </w:rPr>
        <w:t>作品脈絡</w:t>
      </w:r>
    </w:p>
    <w:p>
      <w:pPr>
        <w:keepNext/>
        <w:spacing w:before="280" w:after="140" w:line="276" w:lineRule="auto"/>
      </w:pPr>
      <w:r>
        <w:rPr>
          <w:rFonts w:ascii="PingFang TC" w:hAnsi="PingFang TC" w:eastAsia="PingFang TC"/>
          <w:b/>
          <w:i w:val="0"/>
          <w:color w:val="2E74B5"/>
          <w:sz w:val="26"/>
        </w:rPr>
        <w:t>現地、儀式與身體</w:t>
      </w:r>
    </w:p>
    <w:p>
      <w:pPr>
        <w:spacing w:before="0" w:after="160" w:line="307" w:lineRule="auto"/>
      </w:pPr>
      <w:r>
        <w:rPr>
          <w:rFonts w:ascii="PingFang TC" w:hAnsi="PingFang TC" w:eastAsia="PingFang TC"/>
          <w:b w:val="0"/>
          <w:i w:val="0"/>
          <w:color w:val="20262A"/>
          <w:sz w:val="21"/>
        </w:rPr>
        <w:t>作品多在自然與歷史場域中展開，讓身體不只是表演媒介，也成為讀取環境、時間與文化痕跡的方法。從《虎刺梅》系列到《城市轍跡》《幽嶼時祭》，創作持續把場域視為共同創作者，使觀眾在移動、聲音與空間感中進入作品。</w:t>
      </w:r>
    </w:p>
    <w:p>
      <w:pPr>
        <w:keepNext/>
        <w:spacing w:before="280" w:after="140" w:line="276" w:lineRule="auto"/>
      </w:pPr>
      <w:r>
        <w:rPr>
          <w:rFonts w:ascii="PingFang TC" w:hAnsi="PingFang TC" w:eastAsia="PingFang TC"/>
          <w:b/>
          <w:i w:val="0"/>
          <w:color w:val="2E74B5"/>
          <w:sz w:val="26"/>
        </w:rPr>
        <w:t>傳統與當代的轉譯</w:t>
      </w:r>
    </w:p>
    <w:p>
      <w:pPr>
        <w:spacing w:before="0" w:after="160" w:line="307" w:lineRule="auto"/>
      </w:pPr>
      <w:r>
        <w:rPr>
          <w:rFonts w:ascii="PingFang TC" w:hAnsi="PingFang TC" w:eastAsia="PingFang TC"/>
          <w:b w:val="0"/>
          <w:i w:val="0"/>
          <w:color w:val="20262A"/>
          <w:sz w:val="21"/>
        </w:rPr>
        <w:t>人米犬頁製作關注傳統並非以再現為終點，而是透過編舞、聲響與儀式秩序，將非物質的信仰、記憶與地方知識轉化為當代身體語彙。這種創作方法使作品能同時保有地方感、感官性與當代劇場的開放結構。</w:t>
      </w:r>
    </w:p>
    <w:p>
      <w:pPr>
        <w:keepNext/>
        <w:spacing w:before="360" w:after="200" w:line="276" w:lineRule="auto"/>
      </w:pPr>
      <w:r>
        <w:rPr>
          <w:rFonts w:ascii="PingFang TC" w:hAnsi="PingFang TC" w:eastAsia="PingFang TC"/>
          <w:b/>
          <w:i w:val="0"/>
          <w:color w:val="2E74B5"/>
          <w:sz w:val="32"/>
        </w:rPr>
        <w:t>可提供合作形式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劇場與非典型空間之舞蹈創作／演出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節慶、開幕、公共藝術、地方文化活動之現地製作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身體工作坊、即興與創作方法分享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跨域合作：聲音、影像、視覺藝術、空間、文史與地方研究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PingFang TC" w:hAnsi="PingFang TC" w:eastAsia="PingFang TC"/>
          <w:b w:val="0"/>
          <w:i w:val="0"/>
          <w:color w:val="20262A"/>
          <w:sz w:val="20"/>
        </w:rPr>
        <w:t>作品重製、場域版本改作與國內外駐村／藝術節提案</w:t>
      </w:r>
    </w:p>
    <w:p>
      <w:pPr>
        <w:keepNext/>
        <w:spacing w:before="360" w:after="200" w:line="276" w:lineRule="auto"/>
      </w:pPr>
      <w:r>
        <w:rPr>
          <w:rFonts w:ascii="PingFang TC" w:hAnsi="PingFang TC" w:eastAsia="PingFang TC"/>
          <w:b/>
          <w:i w:val="0"/>
          <w:color w:val="2E74B5"/>
          <w:sz w:val="32"/>
        </w:rPr>
        <w:t>資料待補</w:t>
      </w:r>
    </w:p>
    <w:p>
      <w:pPr>
        <w:spacing w:before="0" w:after="0" w:line="300" w:lineRule="auto"/>
      </w:pPr>
      <w:r>
        <w:rPr>
          <w:rFonts w:ascii="PingFang TC" w:hAnsi="PingFang TC" w:eastAsia="PingFang TC"/>
          <w:b w:val="0"/>
          <w:i/>
          <w:color w:val="606562"/>
          <w:sz w:val="20"/>
        </w:rPr>
        <w:t>個人本名、聯絡電話、電子郵件、正式網站／社群連結、學歷與個人獲獎經歷可於確認後補入。此版先以現有團隊 CV 與創作資料建立可投遞、可延伸的藝術履歷骨架。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TC" w:hAnsi="PingFang TC" w:eastAsia="PingFang TC"/>
        <w:b w:val="0"/>
        <w:i w:val="0"/>
        <w:color w:val="606562"/>
        <w:sz w:val="17"/>
      </w:rPr>
      <w:t>人米犬頁製作｜舞蹈藝術家履歷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color w:val="2026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