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both"/>
        <w:rPr>
          <w:rFonts w:ascii="Arial" w:hAnsi="Arial" w:cs="Arial"/>
        </w:rPr>
      </w:pPr>
      <w:r>
        <w:rPr>
          <w:rFonts w:cs="Arial" w:ascii="Arial" w:hAnsi="Arial"/>
        </w:rPr>
      </w:r>
    </w:p>
    <w:p>
      <w:pPr>
        <w:pStyle w:val="Normal"/>
        <w:spacing w:lineRule="auto" w:line="240" w:before="0" w:after="0"/>
        <w:rPr>
          <w:rFonts w:ascii="Arial" w:hAnsi="Arial" w:cs="Arial"/>
          <w:color w:val="3E6ABF"/>
          <w:sz w:val="52"/>
          <w:szCs w:val="52"/>
          <w:lang w:val="en-US"/>
        </w:rPr>
      </w:pPr>
      <w:r>
        <w:rPr>
          <w:rFonts w:cs="Arial" w:ascii="Arial" w:hAnsi="Arial"/>
          <w:color w:val="3E6ABF"/>
          <w:sz w:val="52"/>
          <w:szCs w:val="52"/>
          <w:lang w:val="en-US"/>
        </w:rPr>
        <w:t>Friedrich-Schiller-Universität Jena</w:t>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b/>
          <w:sz w:val="28"/>
          <w:szCs w:val="28"/>
          <w:lang w:val="en-US"/>
        </w:rPr>
      </w:pPr>
      <w:r>
        <w:rPr>
          <w:rFonts w:cs="Arial" w:ascii="Arial" w:hAnsi="Arial"/>
          <w:b/>
          <w:sz w:val="28"/>
          <w:szCs w:val="28"/>
          <w:lang w:val="en-US"/>
        </w:rPr>
        <w:t>Modulkatalog Master of Science</w:t>
      </w:r>
    </w:p>
    <w:p>
      <w:pPr>
        <w:pStyle w:val="Normal"/>
        <w:spacing w:lineRule="auto" w:line="240" w:before="0" w:after="0"/>
        <w:rPr>
          <w:rFonts w:ascii="Arial" w:hAnsi="Arial" w:cs="Arial"/>
          <w:b/>
          <w:sz w:val="28"/>
          <w:szCs w:val="28"/>
          <w:lang w:val="en-US"/>
        </w:rPr>
      </w:pPr>
      <w:r>
        <w:rPr>
          <w:rFonts w:cs="Arial" w:ascii="Arial" w:hAnsi="Arial"/>
          <w:b/>
          <w:sz w:val="28"/>
          <w:szCs w:val="28"/>
          <w:lang w:val="en-US"/>
        </w:rPr>
        <w:t>664 Evolution Ecology and Systematics</w:t>
      </w:r>
    </w:p>
    <w:p>
      <w:pPr>
        <w:pStyle w:val="Normal"/>
        <w:spacing w:lineRule="auto" w:line="240" w:before="0" w:after="0"/>
        <w:rPr>
          <w:rFonts w:ascii="Arial" w:hAnsi="Arial" w:cs="Arial"/>
          <w:b/>
          <w:sz w:val="28"/>
          <w:szCs w:val="28"/>
        </w:rPr>
      </w:pPr>
      <w:r>
        <w:rPr>
          <w:rFonts w:cs="Arial" w:ascii="Arial" w:hAnsi="Arial"/>
          <w:sz w:val="28"/>
          <w:szCs w:val="28"/>
        </w:rPr>
        <w:t>PO-Version 2018</w:t>
      </w:r>
    </w:p>
    <w:p>
      <w:pPr>
        <w:pStyle w:val="Normal"/>
        <w:spacing w:lineRule="auto" w:line="240" w:before="0" w:after="0"/>
        <w:rPr>
          <w:rFonts w:ascii="Arial" w:hAnsi="Arial" w:cs="Arial"/>
          <w:b/>
          <w:sz w:val="28"/>
          <w:szCs w:val="28"/>
        </w:rPr>
      </w:pPr>
      <w:r>
        <w:rPr>
          <w:rFonts w:cs="Arial" w:ascii="Arial" w:hAnsi="Arial"/>
          <w:b/>
          <w:sz w:val="28"/>
          <w:szCs w:val="28"/>
        </w:rPr>
      </w:r>
    </w:p>
    <w:p>
      <w:pPr>
        <w:pStyle w:val="Normal"/>
        <w:spacing w:lineRule="auto" w:line="240" w:before="0" w:after="0"/>
        <w:rPr>
          <w:rFonts w:ascii="Arial" w:hAnsi="Arial" w:cs="Arial"/>
        </w:rPr>
      </w:pPr>
      <w:r>
        <w:rPr>
          <w:rFonts w:cs="Arial" w:ascii="Arial" w:hAnsi="Arial"/>
          <w:bCs/>
          <w:sz w:val="24"/>
          <w:szCs w:val="24"/>
        </w:rPr>
        <w:t>WS 2024/25</w:t>
      </w:r>
    </w:p>
    <w:p>
      <w:pPr>
        <w:pStyle w:val="Normal"/>
        <w:spacing w:lineRule="auto" w:line="240" w:before="0" w:after="160"/>
        <w:rPr>
          <w:rFonts w:ascii="Arial" w:hAnsi="Arial" w:cs="Arial"/>
        </w:rPr>
      </w:pPr>
      <w:r>
        <w:rPr>
          <w:rFonts w:cs="Arial" w:ascii="Arial" w:hAnsi="Arial"/>
        </w:rPr>
      </w:r>
      <w:r>
        <w:br w:type="page"/>
      </w:r>
    </w:p>
    <w:tbl>
      <w:tblPr>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38"/>
        <w:gridCol w:w="6095"/>
      </w:tblGrid>
      <w:tr>
        <w:trPr/>
        <w:tc>
          <w:tcPr>
            <w:tcW w:w="9633" w:type="dxa"/>
            <w:gridSpan w:val="2"/>
            <w:tcBorders>
              <w:top w:val="single" w:sz="4" w:space="0" w:color="000000"/>
              <w:left w:val="single" w:sz="4" w:space="0" w:color="000000"/>
              <w:bottom w:val="single" w:sz="4" w:space="0" w:color="000000"/>
              <w:right w:val="single" w:sz="4" w:space="0" w:color="000000"/>
            </w:tcBorders>
            <w:shd w:color="auto" w:fill="3E6ABF" w:val="clear"/>
          </w:tcPr>
          <w:p>
            <w:pPr>
              <w:pStyle w:val="Normal"/>
              <w:keepNext w:val="true"/>
              <w:keepLines/>
              <w:pageBreakBefore/>
              <w:numPr>
                <w:ilvl w:val="0"/>
                <w:numId w:val="0"/>
              </w:numPr>
              <w:spacing w:lineRule="auto" w:line="240" w:before="0" w:after="0"/>
              <w:ind w:hanging="0" w:left="0"/>
              <w:outlineLvl w:val="1"/>
              <w:rPr>
                <w:highlight w:val="none"/>
                <w:shd w:fill="EA7500" w:val="clear"/>
              </w:rPr>
            </w:pPr>
            <w:r>
              <w:rPr>
                <w:rFonts w:cs="Arial" w:ascii="Arial" w:hAnsi="Arial"/>
                <w:bCs/>
                <w:color w:val="FFFFFF"/>
                <w:sz w:val="24"/>
                <w:szCs w:val="26"/>
                <w:shd w:fill="EA7500" w:val="clear"/>
              </w:rPr>
              <w:t xml:space="preserve">Modul </w:t>
            </w:r>
            <w:r>
              <w:rPr>
                <w:rFonts w:cs="Arial" w:ascii="Arial" w:hAnsi="Arial"/>
                <w:b/>
                <w:bCs/>
                <w:color w:val="FFFFFF"/>
                <w:sz w:val="24"/>
                <w:szCs w:val="26"/>
                <w:shd w:fill="EA7500" w:val="clear"/>
              </w:rPr>
              <w:t xml:space="preserve">??? </w:t>
            </w:r>
            <w:r>
              <w:rPr>
                <w:rFonts w:cs="Arial" w:ascii="Arial" w:hAnsi="Arial"/>
                <w:bCs/>
                <w:color w:val="FFFFFF"/>
                <w:sz w:val="24"/>
                <w:szCs w:val="26"/>
                <w:shd w:fill="EA7500" w:val="clear"/>
              </w:rPr>
              <w:t xml:space="preserve"> ???-</w:t>
            </w:r>
            <w:r>
              <w:rPr>
                <w:rFonts w:cs="Arial" w:ascii="Arial" w:hAnsi="Arial"/>
                <w:shd w:fill="EA7500" w:val="clear"/>
              </w:rPr>
              <w:t xml:space="preserve"> </w:t>
            </w:r>
            <w:r>
              <w:rPr>
                <w:rFonts w:cs="Arial" w:ascii="Arial" w:hAnsi="Arial"/>
                <w:bCs/>
                <w:color w:val="FFFFFF"/>
                <w:sz w:val="24"/>
                <w:szCs w:val="26"/>
                <w:shd w:fill="EA7500" w:val="clear"/>
              </w:rPr>
              <w:t>Species Distribution Models</w:t>
            </w:r>
          </w:p>
        </w:tc>
      </w:tr>
      <w:tr>
        <w:trPr>
          <w:trHeight w:val="511" w:hRule="atLeast"/>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Modulcode</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rPr>
              <w:t>???</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Modultitel (deutsch)</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shd w:fill="FFFF00" w:val="clear"/>
              </w:rPr>
              <w:t>???</w:t>
            </w:r>
            <w:r>
              <w:rPr>
                <w:rFonts w:cs="Arial" w:ascii="Arial" w:hAnsi="Arial"/>
                <w:sz w:val="20"/>
                <w:szCs w:val="20"/>
              </w:rPr>
              <w:t xml:space="preserve"> - </w:t>
            </w:r>
            <w:r>
              <w:rPr>
                <w:rFonts w:cs="Arial" w:ascii="Arial" w:hAnsi="Arial"/>
                <w:sz w:val="20"/>
                <w:szCs w:val="20"/>
              </w:rPr>
              <w:t>Species Distribution Models</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Modultitel (englisch)</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lang w:val="en-US"/>
              </w:rPr>
              <w:t>??? - ?? ?? ??</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Modul-Verantwortliche/r</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rPr>
              <w:t>Brose</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Voraussetzung für die Zulassung zum Modul</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color w:val="000000"/>
                <w:sz w:val="20"/>
              </w:rPr>
              <w:t>keine</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Art des Moduls (Pflicht-, Wahlpflicht- oder Wahlmodul)</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rPr>
              <w:t>Wahlpflichtmodul/Aufbaumodul</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Häufigkeit des Angebots (Modulturnus)</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jedes 2. Semester (ab Sommersemester)</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Dauer des Moduls</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rPr>
              <w:t>1 Semester</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Zusammensetzung des Moduls / Lehrformen  (V, Ü, S, Praktikum,...)</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rPr>
              <w:t xml:space="preserve">V: </w:t>
            </w:r>
            <w:r>
              <w:rPr>
                <w:rFonts w:cs="Arial" w:ascii="Arial" w:hAnsi="Arial"/>
                <w:sz w:val="20"/>
                <w:szCs w:val="20"/>
                <w:shd w:fill="FFFF00" w:val="clear"/>
              </w:rPr>
              <w:t>1</w:t>
            </w:r>
            <w:r>
              <w:rPr>
                <w:rFonts w:cs="Arial" w:ascii="Arial" w:hAnsi="Arial"/>
                <w:sz w:val="20"/>
                <w:szCs w:val="20"/>
                <w:shd w:fill="FFFF00" w:val="clear"/>
              </w:rPr>
              <w:t xml:space="preserve"> SWS (Block)</w:t>
              <w:br/>
              <w:t xml:space="preserve">Ü: </w:t>
            </w:r>
            <w:r>
              <w:rPr>
                <w:rFonts w:cs="Arial" w:ascii="Arial" w:hAnsi="Arial"/>
                <w:sz w:val="20"/>
                <w:szCs w:val="20"/>
                <w:shd w:fill="FFFF00" w:val="clear"/>
              </w:rPr>
              <w:t>3</w:t>
            </w:r>
            <w:r>
              <w:rPr>
                <w:rFonts w:cs="Arial" w:ascii="Arial" w:hAnsi="Arial"/>
                <w:sz w:val="20"/>
                <w:szCs w:val="20"/>
                <w:shd w:fill="FFFF00" w:val="clear"/>
              </w:rPr>
              <w:t xml:space="preserve"> SWS (Block)</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Leistungspunkte (ECTS credits)</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hd w:fill="FFFF00" w:val="clear"/>
              </w:rPr>
              <w:t>4</w:t>
            </w:r>
            <w:r>
              <w:rPr>
                <w:rFonts w:cs="Arial" w:ascii="Arial" w:hAnsi="Arial"/>
                <w:sz w:val="20"/>
                <w:shd w:fill="FFFF00" w:val="clear"/>
              </w:rPr>
              <w:t xml:space="preserve"> LP</w:t>
            </w:r>
          </w:p>
        </w:tc>
      </w:tr>
      <w:tr>
        <w:trPr/>
        <w:tc>
          <w:tcPr>
            <w:tcW w:w="3538" w:type="dxa"/>
            <w:tcBorders>
              <w:top w:val="single" w:sz="4" w:space="0" w:color="000000"/>
              <w:left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Arbeitsaufwand (work load) in:</w:t>
              <w:br/>
              <w:t>- Präsenzstunden</w:t>
              <w:br/>
              <w:t>- Selbststudium (einschl. Prüfungsvorbereitungen)</w:t>
            </w:r>
          </w:p>
        </w:tc>
        <w:tc>
          <w:tcPr>
            <w:tcW w:w="6095" w:type="dxa"/>
            <w:tcBorders>
              <w:top w:val="single" w:sz="4" w:space="0" w:color="000000"/>
              <w:right w:val="single" w:sz="4" w:space="0" w:color="000000"/>
            </w:tcBorders>
          </w:tcPr>
          <w:p>
            <w:pPr>
              <w:pStyle w:val="Normal"/>
              <w:spacing w:lineRule="auto" w:line="240" w:before="120" w:after="120"/>
              <w:rPr>
                <w:rFonts w:asciiTheme="minorHAnsi" w:hAnsiTheme="minorHAnsi"/>
                <w:highlight w:val="none"/>
                <w:shd w:fill="FFFF00" w:val="clear"/>
              </w:rPr>
            </w:pPr>
            <w:r>
              <w:rPr>
                <w:rFonts w:cs="Arial" w:ascii="Arial" w:hAnsi="Arial"/>
                <w:sz w:val="20"/>
                <w:szCs w:val="20"/>
                <w:shd w:fill="FFFF00" w:val="clear"/>
              </w:rPr>
              <w:t>1</w:t>
            </w:r>
            <w:r>
              <w:rPr>
                <w:rFonts w:cs="Arial" w:ascii="Arial" w:hAnsi="Arial"/>
                <w:sz w:val="20"/>
                <w:szCs w:val="20"/>
                <w:shd w:fill="FFFF00" w:val="clear"/>
              </w:rPr>
              <w:t>2</w:t>
            </w:r>
            <w:r>
              <w:rPr>
                <w:rFonts w:cs="Arial" w:ascii="Arial" w:hAnsi="Arial"/>
                <w:sz w:val="20"/>
                <w:szCs w:val="20"/>
                <w:shd w:fill="FFFF00" w:val="clear"/>
              </w:rPr>
              <w:t>0 h</w:t>
              <w:br/>
            </w:r>
            <w:r>
              <w:rPr>
                <w:rFonts w:cs="Arial" w:ascii="Arial" w:hAnsi="Arial"/>
                <w:sz w:val="20"/>
                <w:szCs w:val="20"/>
                <w:shd w:fill="FFFF00" w:val="clear"/>
              </w:rPr>
              <w:t xml:space="preserve">40 </w:t>
            </w:r>
            <w:r>
              <w:rPr>
                <w:rFonts w:cs="Arial" w:ascii="Arial" w:hAnsi="Arial"/>
                <w:sz w:val="20"/>
                <w:szCs w:val="20"/>
                <w:shd w:fill="FFFF00" w:val="clear"/>
              </w:rPr>
              <w:t>h</w:t>
            </w:r>
            <w:r>
              <w:rPr>
                <w:rFonts w:cs="Arial" w:ascii="Arial" w:hAnsi="Arial"/>
                <w:sz w:val="20"/>
                <w:szCs w:val="20"/>
                <w:shd w:fill="FFFF00" w:val="clear"/>
              </w:rPr>
              <w:t xml:space="preserve"> (25)</w:t>
            </w:r>
            <w:r>
              <w:rPr>
                <w:rFonts w:cs="Arial" w:ascii="Arial" w:hAnsi="Arial"/>
                <w:sz w:val="20"/>
                <w:szCs w:val="20"/>
                <w:shd w:fill="FFFF00" w:val="clear"/>
              </w:rPr>
              <w:br/>
            </w:r>
            <w:r>
              <w:rPr>
                <w:rFonts w:cs="Arial" w:ascii="Arial" w:hAnsi="Arial"/>
                <w:sz w:val="20"/>
                <w:szCs w:val="20"/>
                <w:shd w:fill="FFFF00" w:val="clear"/>
              </w:rPr>
              <w:t>80</w:t>
            </w:r>
            <w:r>
              <w:rPr>
                <w:rFonts w:cs="Arial" w:ascii="Arial" w:hAnsi="Arial"/>
                <w:sz w:val="20"/>
                <w:szCs w:val="20"/>
                <w:shd w:fill="FFFF00" w:val="clear"/>
              </w:rPr>
              <w:t xml:space="preserve"> h </w:t>
            </w:r>
            <w:r>
              <w:rPr>
                <w:rFonts w:cs="Arial" w:ascii="Arial" w:hAnsi="Arial"/>
                <w:sz w:val="20"/>
                <w:szCs w:val="20"/>
                <w:shd w:fill="FFFF00" w:val="clear"/>
              </w:rPr>
              <w:t>(15)</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sz w:val="20"/>
                <w:szCs w:val="20"/>
              </w:rPr>
            </w:pPr>
            <w:r>
              <w:rPr>
                <w:rFonts w:cs="Arial" w:ascii="Arial" w:hAnsi="Arial"/>
                <w:sz w:val="20"/>
                <w:szCs w:val="20"/>
              </w:rPr>
              <w:t>Inhalte</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sz w:val="20"/>
                <w:szCs w:val="20"/>
              </w:rPr>
            </w:pPr>
            <w:commentRangeStart w:id="0"/>
            <w:r>
              <w:rPr>
                <w:rFonts w:ascii="Arial" w:hAnsi="Arial"/>
                <w:sz w:val="20"/>
                <w:szCs w:val="20"/>
              </w:rPr>
              <w:t>This course introduces the theory and practice of Ecological Niche Modelling (ENM) and Species Distribution Modelling (SDM) and their applications in ecology and conservation, with particular focus on climate change. Students will learn the core concepts, data requirements, and basic approaches to perfrom ENM/SDM. In the exercises, real-world data are downloaded and analyzed using the methods presented. At the end of the course, the students present the results of their own ENM/SDM and discuss their implications for conservation under climate change.</w:t>
            </w:r>
            <w:commentRangeEnd w:id="0"/>
            <w:r>
              <w:commentReference w:id="0"/>
            </w:r>
            <w:r>
              <w:rPr>
                <w:rFonts w:ascii="Arial" w:hAnsi="Arial"/>
                <w:sz w:val="20"/>
                <w:szCs w:val="20"/>
              </w:rPr>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Lern- und Qualifikationsziele</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color w:val="000000"/>
                <w:sz w:val="20"/>
                <w:szCs w:val="20"/>
              </w:rPr>
            </w:pPr>
            <w:commentRangeStart w:id="1"/>
            <w:r>
              <w:rPr>
                <w:rFonts w:cs="Arial" w:ascii="Arial" w:hAnsi="Arial"/>
                <w:color w:val="000000"/>
                <w:sz w:val="20"/>
                <w:szCs w:val="20"/>
              </w:rPr>
              <w:t>Understanding the theory, concept, and approaches of ENM/SDM. Being able to independently build, evaluate, and interpret basic ENM/SDM analyses. Regular participation in the exercises is necessary to achieve the learning objectives of the module. Further details will be provided by the respective instructors at the beginning of these courses.</w:t>
            </w:r>
            <w:commentRangeEnd w:id="1"/>
            <w:r>
              <w:commentReference w:id="1"/>
            </w:r>
            <w:r>
              <w:rPr>
                <w:rFonts w:cs="Arial" w:ascii="Arial" w:hAnsi="Arial"/>
                <w:color w:val="000000"/>
                <w:sz w:val="20"/>
                <w:szCs w:val="20"/>
              </w:rPr>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Voraussetzung für die Vergabe von Leistungspunkten (Prüfungsform)</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rPr>
              <w:t>Schriftliche Ausarbeitung zur Übung</w:t>
            </w:r>
            <w:r>
              <w:rPr>
                <w:rFonts w:cs="Arial" w:ascii="Arial" w:hAnsi="Arial"/>
                <w:sz w:val="20"/>
                <w:szCs w:val="20"/>
              </w:rPr>
              <w:t xml:space="preserve"> (100%)</w:t>
            </w:r>
          </w:p>
        </w:tc>
      </w:tr>
      <w:tr>
        <w:trPr/>
        <w:tc>
          <w:tcPr>
            <w:tcW w:w="3538"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Zusätzliche Informationen zum Modul</w:t>
            </w:r>
          </w:p>
        </w:tc>
        <w:tc>
          <w:tcPr>
            <w:tcW w:w="6095"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rPr>
            </w:pPr>
            <w:r>
              <w:rPr>
                <w:rFonts w:cs="Arial" w:ascii="Arial" w:hAnsi="Arial"/>
                <w:i/>
                <w:sz w:val="18"/>
                <w:szCs w:val="18"/>
              </w:rPr>
              <w:t>Das Modul findet in englischer Sprache statt.</w:t>
            </w:r>
          </w:p>
          <w:p>
            <w:pPr>
              <w:pStyle w:val="Normal"/>
              <w:spacing w:lineRule="auto" w:line="240" w:before="120" w:after="120"/>
              <w:rPr>
                <w:rFonts w:ascii="Arial" w:hAnsi="Arial" w:cs="Arial"/>
                <w:sz w:val="20"/>
              </w:rPr>
            </w:pPr>
            <w:r>
              <w:rPr>
                <w:rFonts w:cs="Arial" w:ascii="Arial" w:hAnsi="Arial"/>
                <w:i/>
                <w:sz w:val="18"/>
                <w:szCs w:val="18"/>
              </w:rPr>
              <w:t>The module will be held in English.</w:t>
            </w:r>
            <w:r>
              <w:rPr>
                <w:rFonts w:asciiTheme="minorHAnsi" w:hAnsiTheme="minorHAnsi"/>
                <w:shd w:fill="FFFF00" w:val="clear"/>
              </w:rPr>
              <w:br/>
            </w:r>
            <w:r>
              <w:rPr>
                <w:rFonts w:cs="Arial" w:ascii="Arial" w:hAnsi="Arial"/>
                <w:i/>
                <w:sz w:val="18"/>
                <w:szCs w:val="18"/>
                <w:shd w:fill="FFFF00" w:val="clear"/>
              </w:rPr>
              <w:t>Das Modul wird alle 2 Jahre angeboten, es muss also im 2. oder .4. Semester belegt werden.</w:t>
            </w:r>
          </w:p>
        </w:tc>
      </w:tr>
    </w:tbl>
    <w:p>
      <w:pPr>
        <w:pStyle w:val="Normal"/>
        <w:spacing w:lineRule="auto" w:line="240" w:before="0" w:after="160"/>
        <w:rPr>
          <w:rFonts w:ascii="Arial" w:hAnsi="Arial" w:cs="Arial"/>
        </w:rPr>
      </w:pPr>
      <w:r>
        <w:rPr>
          <w:rFonts w:cs="Arial" w:ascii="Arial" w:hAnsi="Arial"/>
        </w:rPr>
      </w:r>
    </w:p>
    <w:sectPr>
      <w:type w:val="nextPage"/>
      <w:pgSz w:w="11906" w:h="16838"/>
      <w:pgMar w:left="1418" w:right="1418" w:gutter="0" w:header="0" w:top="1304" w:footer="0" w:bottom="1077"/>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milio Berti" w:date="2026-01-19T13:07:59Z" w:initials="EB">
    <w:p>
      <w:pPr>
        <w:kinsoku w:val="true"/>
        <w:overflowPunct w:val="false"/>
        <w:autoSpaceDE w:val="true"/>
        <w:bidi w:val="0"/>
        <w:spacing w:before="0" w:after="0" w:lineRule="auto" w:line="240"/>
        <w:ind w:hanging="0"/>
        <w:jc w:val="left"/>
        <w:rPr/>
      </w:pPr>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shd w:fill="auto" w:val="clear"/>
          <w:vertAlign w:val="baseline"/>
          <w:em w:val="none"/>
          <w:lang w:bidi="ar-SA" w:eastAsia="en-US" w:val="de-DE"/>
        </w:rPr>
        <w:t>Dieser Kurs vermittelt die Theorie und Praxis der ökologischen Nischenmodellierung (ENM) und der Artenverbreitungsmodellierung (SDM) sowie deren Anwendungen in der Ökologie und im Naturschutz, wobei ein besonderer Schwerpunkt auf dem Klimawandel liegt. Die Studierenden lernen die Kernkonzepte, Datenanforderungen und grundlegenden Ansätze zur Durchführung einer ENM/SDM kennen. In den Übungen werden reale Daten heruntergeladen und mit den vorgestellten Methoden analysiert. Am Ende des Kurses präsentieren die Studierenden die Ergebnisse ihrer eigenen ENM/SDM und diskutieren deren Auswirkungen auf den Naturschutz unter den Bedingungen des Klimawandels.</w:t>
      </w:r>
    </w:p>
    <w:p>
      <w:pPr>
        <w:kinsoku w:val="true"/>
        <w:overflowPunct w:val="false"/>
        <w:autoSpaceDE w:val="true"/>
        <w:bidi w:val="0"/>
        <w:spacing w:before="0" w:after="0" w:lineRule="auto" w:line="240"/>
        <w:ind w:hanging="0"/>
        <w:jc w:val="left"/>
        <w:rPr/>
      </w:pPr>
      <w:r>
        <w:rPr>
          <w:rFonts w:ascii="Liberation Serif" w:hAnsi="Liberation Serif" w:eastAsia="DejaVu Sans" w:cs="Noto Sans Arabic UI"/>
          <w:sz w:val="24"/>
          <w:szCs w:val="24"/>
          <w:lang w:val="en-US" w:eastAsia="en-US" w:bidi="en-US"/>
        </w:rPr>
      </w:r>
    </w:p>
    <w:p>
      <w:pPr>
        <w:kinsoku w:val="true"/>
        <w:overflowPunct w:val="false"/>
        <w:autoSpaceDE w:val="true"/>
        <w:bidi w:val="0"/>
        <w:spacing w:before="0" w:after="0" w:lineRule="auto" w:line="240"/>
        <w:ind w:hanging="0"/>
        <w:jc w:val="left"/>
        <w:rPr/>
      </w:pPr>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shd w:fill="auto" w:val="clear"/>
          <w:vertAlign w:val="baseline"/>
          <w:em w:val="none"/>
          <w:lang w:val="de-DE" w:eastAsia="en-US" w:bidi="ar-SA"/>
        </w:rPr>
        <w:t>Übersetzt mit DeepL.com (kostenlose Version)</w:t>
      </w:r>
    </w:p>
  </w:comment>
  <w:comment w:id="1" w:author="Emilio Berti" w:date="2026-01-19T13:08:19Z" w:initials="EB">
    <w:p>
      <w:pPr>
        <w:kinsoku w:val="true"/>
        <w:overflowPunct w:val="false"/>
        <w:autoSpaceDE w:val="true"/>
        <w:bidi w:val="0"/>
        <w:spacing w:before="0" w:after="0" w:lineRule="auto" w:line="240"/>
        <w:ind w:hanging="0"/>
        <w:jc w:val="left"/>
        <w:rPr/>
      </w:pPr>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shd w:fill="auto" w:val="clear"/>
          <w:vertAlign w:val="baseline"/>
          <w:em w:val="none"/>
          <w:lang w:bidi="ar-SA" w:eastAsia="en-US" w:val="de-DE"/>
        </w:rPr>
        <w:t>Verständnis der Theorie, des Konzepts und der Ansätze von ENM/SDM. Fähigkeit, grundlegende ENM/SDM-Analysen selbstständig zu erstellen, zu bewerten und zu interpretieren. Die regelmäßige Teilnahme an den Übungen ist erforderlich, um die Lernziele des Moduls zu erreichen. Weitere Einzelheiten werden zu Beginn dieser Kurse von den jeweiligen Dozenten bekannt gegeben.</w:t>
      </w:r>
    </w:p>
    <w:p>
      <w:pPr>
        <w:kinsoku w:val="true"/>
        <w:overflowPunct w:val="false"/>
        <w:autoSpaceDE w:val="true"/>
        <w:bidi w:val="0"/>
        <w:spacing w:before="0" w:after="0" w:lineRule="auto" w:line="240"/>
        <w:ind w:hanging="0"/>
        <w:jc w:val="left"/>
        <w:rPr/>
      </w:pPr>
      <w:r>
        <w:rPr>
          <w:rFonts w:ascii="Liberation Serif" w:hAnsi="Liberation Serif" w:eastAsia="DejaVu Sans" w:cs="Noto Sans Arabic UI"/>
          <w:sz w:val="24"/>
          <w:szCs w:val="24"/>
          <w:lang w:val="en-US" w:eastAsia="en-US" w:bidi="en-US"/>
        </w:rPr>
      </w:r>
    </w:p>
    <w:p>
      <w:pPr>
        <w:kinsoku w:val="true"/>
        <w:overflowPunct w:val="false"/>
        <w:autoSpaceDE w:val="true"/>
        <w:bidi w:val="0"/>
        <w:spacing w:before="0" w:after="0" w:lineRule="auto" w:line="240"/>
        <w:ind w:left="0" w:right="0" w:hanging="0"/>
        <w:jc w:val="left"/>
        <w:rPr/>
      </w:pPr>
      <w:r>
        <w:rPr>
          <w:rFonts w:eastAsia="Calibri" w:ascii="Calibri" w:hAnsi="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shd w:fill="auto" w:val="clear"/>
          <w:vertAlign w:val="baseline"/>
          <w:em w:val="none"/>
          <w:lang w:bidi="ar-SA" w:eastAsia="en-US" w:val="de-DE"/>
        </w:rPr>
        <w:t>Übersetzt mit DeepL.com (kostenlose Version)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Arial Unicode MS">
    <w:charset w:val="01"/>
    <w:family w:val="roman"/>
    <w:pitch w:val="variable"/>
  </w:font>
  <w:font w:name="Times New Roman">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6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04f5"/>
    <w:pPr>
      <w:widowControl/>
      <w:suppressAutoHyphens w:val="true"/>
      <w:bidi w:val="0"/>
      <w:spacing w:lineRule="auto" w:line="276" w:before="0" w:after="200"/>
      <w:jc w:val="left"/>
    </w:pPr>
    <w:rPr>
      <w:rFonts w:ascii="Calibri" w:hAnsi="Calibri" w:eastAsia="Times New Roman" w:cs="Times New Roman" w:asciiTheme="minorHAnsi" w:hAnsiTheme="minorHAnsi"/>
      <w:color w:val="auto"/>
      <w:kern w:val="0"/>
      <w:sz w:val="22"/>
      <w:szCs w:val="22"/>
      <w:lang w:val="de-DE" w:eastAsia="de-DE" w:bidi="ar-SA"/>
    </w:rPr>
  </w:style>
  <w:style w:type="paragraph" w:styleId="Heading1">
    <w:name w:val="Heading 1"/>
    <w:basedOn w:val="Normal"/>
    <w:next w:val="Normal"/>
    <w:link w:val="Berschrift1Zchn"/>
    <w:qFormat/>
    <w:rsid w:val="00ed04f5"/>
    <w:pPr>
      <w:keepNext w:val="true"/>
      <w:keepLines/>
      <w:spacing w:lineRule="auto" w:line="240" w:before="120" w:after="120"/>
      <w:outlineLvl w:val="0"/>
    </w:pPr>
    <w:rPr>
      <w:rFonts w:ascii="Arial" w:hAnsi="Arial"/>
      <w:bCs/>
      <w:color w:val="3E6ABF"/>
      <w:sz w:val="28"/>
      <w:szCs w:val="28"/>
    </w:rPr>
  </w:style>
  <w:style w:type="paragraph" w:styleId="Heading2">
    <w:name w:val="Heading 2"/>
    <w:basedOn w:val="Normal"/>
    <w:next w:val="Normal"/>
    <w:link w:val="Berschrift2Zchn"/>
    <w:uiPriority w:val="9"/>
    <w:unhideWhenUsed/>
    <w:qFormat/>
    <w:rsid w:val="00ed04f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ed04f5"/>
    <w:rPr/>
  </w:style>
  <w:style w:type="character" w:styleId="FuzeileZchn" w:customStyle="1">
    <w:name w:val="Fußzeile Zchn"/>
    <w:basedOn w:val="DefaultParagraphFont"/>
    <w:link w:val="Footer"/>
    <w:uiPriority w:val="99"/>
    <w:qFormat/>
    <w:rsid w:val="00ed04f5"/>
    <w:rPr/>
  </w:style>
  <w:style w:type="character" w:styleId="KommentartextZchn" w:customStyle="1">
    <w:name w:val="Kommentartext Zchn"/>
    <w:basedOn w:val="DefaultParagraphFont"/>
    <w:link w:val="Annotationtext"/>
    <w:qFormat/>
    <w:rsid w:val="00ed04f5"/>
    <w:rPr>
      <w:sz w:val="20"/>
      <w:szCs w:val="20"/>
    </w:rPr>
  </w:style>
  <w:style w:type="character" w:styleId="Annotationreference">
    <w:name w:val="annotation reference"/>
    <w:qFormat/>
    <w:rsid w:val="00ed04f5"/>
    <w:rPr>
      <w:sz w:val="16"/>
      <w:szCs w:val="16"/>
    </w:rPr>
  </w:style>
  <w:style w:type="character" w:styleId="SprechblasentextZchn" w:customStyle="1">
    <w:name w:val="Sprechblasentext Zchn"/>
    <w:basedOn w:val="DefaultParagraphFont"/>
    <w:link w:val="BalloonText"/>
    <w:uiPriority w:val="99"/>
    <w:semiHidden/>
    <w:qFormat/>
    <w:rsid w:val="00ed04f5"/>
    <w:rPr>
      <w:rFonts w:ascii="Segoe UI" w:hAnsi="Segoe UI" w:cs="Segoe UI"/>
      <w:sz w:val="18"/>
      <w:szCs w:val="18"/>
    </w:rPr>
  </w:style>
  <w:style w:type="character" w:styleId="Berschrift1Zchn" w:customStyle="1">
    <w:name w:val="Überschrift 1 Zchn"/>
    <w:basedOn w:val="DefaultParagraphFont"/>
    <w:link w:val="Heading1"/>
    <w:qFormat/>
    <w:rsid w:val="00ed04f5"/>
    <w:rPr>
      <w:rFonts w:ascii="Arial" w:hAnsi="Arial" w:eastAsia="Times New Roman" w:cs="Times New Roman"/>
      <w:bCs/>
      <w:color w:val="3E6ABF"/>
      <w:sz w:val="28"/>
      <w:szCs w:val="28"/>
      <w:lang w:eastAsia="de-DE"/>
    </w:rPr>
  </w:style>
  <w:style w:type="character" w:styleId="Hyperlink">
    <w:name w:val="Hyperlink"/>
    <w:rsid w:val="00ed04f5"/>
    <w:rPr>
      <w:color w:val="0000FF"/>
      <w:u w:val="single"/>
    </w:rPr>
  </w:style>
  <w:style w:type="character" w:styleId="Berschrift2Zchn" w:customStyle="1">
    <w:name w:val="Überschrift 2 Zchn"/>
    <w:basedOn w:val="DefaultParagraphFont"/>
    <w:link w:val="Heading2"/>
    <w:uiPriority w:val="9"/>
    <w:qFormat/>
    <w:rsid w:val="00ed04f5"/>
    <w:rPr>
      <w:rFonts w:ascii="Calibri Light" w:hAnsi="Calibri Light" w:eastAsia="" w:cs="" w:asciiTheme="majorHAnsi" w:cstheme="majorBidi" w:eastAsiaTheme="majorEastAsia" w:hAnsiTheme="majorHAnsi"/>
      <w:color w:themeColor="accent1" w:themeShade="bf" w:val="2E74B5"/>
      <w:sz w:val="26"/>
      <w:szCs w:val="26"/>
      <w:lang w:eastAsia="de-DE"/>
    </w:rPr>
  </w:style>
  <w:style w:type="character" w:styleId="KommentarthemaZchn" w:customStyle="1">
    <w:name w:val="Kommentarthema Zchn"/>
    <w:basedOn w:val="KommentartextZchn"/>
    <w:link w:val="Annotationsubject"/>
    <w:uiPriority w:val="99"/>
    <w:semiHidden/>
    <w:qFormat/>
    <w:rsid w:val="00d866c0"/>
    <w:rPr>
      <w:rFonts w:ascii="Calibri" w:hAnsi="Calibri" w:eastAsia="Times New Roman" w:cs="Times New Roman"/>
      <w:b/>
      <w:bCs/>
      <w:sz w:val="20"/>
      <w:szCs w:val="20"/>
      <w:lang w:eastAsia="de-D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KopfzeileZchn"/>
    <w:uiPriority w:val="99"/>
    <w:unhideWhenUsed/>
    <w:rsid w:val="00ed04f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ed04f5"/>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KommentartextZchn"/>
    <w:unhideWhenUsed/>
    <w:qFormat/>
    <w:rsid w:val="00ed04f5"/>
    <w:pPr>
      <w:spacing w:lineRule="auto" w:line="240"/>
    </w:pPr>
    <w:rPr>
      <w:sz w:val="20"/>
      <w:szCs w:val="20"/>
    </w:rPr>
  </w:style>
  <w:style w:type="paragraph" w:styleId="BalloonText">
    <w:name w:val="Balloon Text"/>
    <w:basedOn w:val="Normal"/>
    <w:link w:val="SprechblasentextZchn"/>
    <w:uiPriority w:val="99"/>
    <w:semiHidden/>
    <w:unhideWhenUsed/>
    <w:qFormat/>
    <w:rsid w:val="00ed04f5"/>
    <w:pPr>
      <w:spacing w:lineRule="auto" w:line="240" w:before="0" w:after="0"/>
    </w:pPr>
    <w:rPr>
      <w:rFonts w:ascii="Segoe UI" w:hAnsi="Segoe UI" w:cs="Segoe UI"/>
      <w:sz w:val="18"/>
      <w:szCs w:val="18"/>
    </w:rPr>
  </w:style>
  <w:style w:type="paragraph" w:styleId="TOC1">
    <w:name w:val="TOC 1"/>
    <w:basedOn w:val="Normal"/>
    <w:next w:val="Normal"/>
    <w:autoRedefine/>
    <w:rsid w:val="00ed04f5"/>
    <w:pPr>
      <w:tabs>
        <w:tab w:val="clear" w:pos="708"/>
        <w:tab w:val="right" w:pos="9911" w:leader="dot"/>
      </w:tabs>
      <w:spacing w:lineRule="auto" w:line="240" w:before="0" w:after="100"/>
    </w:pPr>
    <w:rPr>
      <w:rFonts w:ascii="Arial" w:hAnsi="Arial" w:cs="Arial"/>
      <w:sz w:val="24"/>
    </w:rPr>
  </w:style>
  <w:style w:type="paragraph" w:styleId="TOC2">
    <w:name w:val="TOC 2"/>
    <w:basedOn w:val="Normal"/>
    <w:next w:val="Normal"/>
    <w:autoRedefine/>
    <w:rsid w:val="00ed04f5"/>
    <w:pPr>
      <w:spacing w:before="0" w:after="100"/>
      <w:ind w:left="220"/>
    </w:pPr>
    <w:rPr>
      <w:rFonts w:ascii="Arial" w:hAnsi="Arial"/>
      <w:sz w:val="24"/>
    </w:rPr>
  </w:style>
  <w:style w:type="paragraph" w:styleId="Annotationsubject">
    <w:name w:val="annotation subject"/>
    <w:basedOn w:val="Annotationtext"/>
    <w:next w:val="Annotationtext"/>
    <w:link w:val="KommentarthemaZchn"/>
    <w:uiPriority w:val="99"/>
    <w:semiHidden/>
    <w:unhideWhenUsed/>
    <w:qFormat/>
    <w:rsid w:val="00d866c0"/>
    <w:pPr/>
    <w:rPr>
      <w:b/>
      <w:bCs/>
    </w:rPr>
  </w:style>
  <w:style w:type="paragraph" w:styleId="StandardWeb1" w:customStyle="1">
    <w:name w:val="Standard (Web)1"/>
    <w:basedOn w:val="Normal"/>
    <w:qFormat/>
    <w:rsid w:val="00ef1bc6"/>
    <w:pPr>
      <w:overflowPunct w:val="false"/>
      <w:spacing w:lineRule="auto" w:line="240" w:before="100" w:after="100"/>
      <w:textAlignment w:val="baseline"/>
    </w:pPr>
    <w:rPr>
      <w:rFonts w:ascii="Arial Unicode MS" w:hAnsi="Arial Unicode MS" w:eastAsia="Arial Unicode MS"/>
      <w:sz w:val="24"/>
      <w:szCs w:val="20"/>
    </w:rPr>
  </w:style>
  <w:style w:type="paragraph" w:styleId="NormalWeb1" w:customStyle="1">
    <w:name w:val="Normal (Web)1"/>
    <w:basedOn w:val="Normal"/>
    <w:qFormat/>
    <w:rsid w:val="00a05c52"/>
    <w:pPr>
      <w:overflowPunct w:val="false"/>
      <w:spacing w:lineRule="auto" w:line="240" w:before="100" w:after="100"/>
      <w:textAlignment w:val="baseline"/>
    </w:pPr>
    <w:rPr>
      <w:rFonts w:ascii="Arial Unicode MS" w:hAnsi="Arial Unicode MS" w:eastAsia="Arial Unicode MS"/>
      <w:sz w:val="24"/>
      <w:szCs w:val="20"/>
    </w:rPr>
  </w:style>
  <w:style w:type="paragraph" w:styleId="NormalWeb">
    <w:name w:val="Normal (Web)"/>
    <w:basedOn w:val="Normal"/>
    <w:uiPriority w:val="99"/>
    <w:semiHidden/>
    <w:unhideWhenUsed/>
    <w:qFormat/>
    <w:rsid w:val="00b55793"/>
    <w:pPr>
      <w:spacing w:lineRule="auto" w:line="240" w:beforeAutospacing="1" w:afterAutospacing="1"/>
    </w:pPr>
    <w:rPr>
      <w:rFonts w:ascii="Times New Roman" w:hAnsi="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20CDE-A8D7-4B5C-A99D-2B3EE95DF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LibreOffice/7.6.7.2$Linux_X86_64 LibreOffice_project/60$Build-2</Application>
  <AppVersion>15.0000</AppVersion>
  <Pages>2</Pages>
  <Words>289</Words>
  <Characters>1775</Characters>
  <CharactersWithSpaces>2029</CharactersWithSpaces>
  <Paragraphs>37</Paragraphs>
  <Company>Ihre Organisation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2026-01-19T10:43:00Z</dcterms:created>
  <dc:creator>Doehler</dc:creator>
  <dc:description/>
  <dc:language>en-GB</dc:language>
  <cp:lastModifiedBy>Emilio Berti</cp:lastModifiedBy>
  <cp:lastPrinted>2017-11-22T12:23:00Z</cp:lastPrinted>
  <dcterms:modified xsi:type="dcterms:W3CDTF">2026-01-19T13:10:20Z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