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Hasklig" w:hAnsi="Hasklig"/>
          <w:sz w:val="23"/>
          <w:szCs w:val="23"/>
        </w:rPr>
      </w:pPr>
      <w:bookmarkStart w:id="0" w:name="_GoBack"/>
      <w:bookmarkEnd w:id="0"/>
      <w:r>
        <w:rPr>
          <w:rFonts w:ascii="Hasklig" w:hAnsi="Hasklig"/>
          <w:sz w:val="23"/>
          <w:szCs w:val="23"/>
        </w:rPr>
        <w:t>% Copyright (c) 2017 Emilio Cabrera &lt;emilio1625@gmail.com&gt;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%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% GNU GENERAL PUBLIC LICENSE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%    Version 3, 29 June 2007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%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% This program is free software: you can redistribute it and/or modify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% it under the terms of the GNU General Public License as published by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% the Free Software Foundation, either version 3 of the License, or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% (at your option) any later version.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%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% This program is distributed in the hope that it will be useful,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% but WITHOUT ANY WARRANTY; without even the implied warranty of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% MERCHANTABILITY or FITNESS FOR A PARTICULAR PURPOSE.  See the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% GNU General Public License for more details.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%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% You should have received a copy of the GNU General Public License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% along with this program.  If not, see &lt;http://www.gnu.org/licenses/&gt;.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% Preparamos el area de trabajo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clear all;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pkg load signal;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% Características de la señal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global amp  = 1;                            % amplitud de la señal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global tmp  = amp / 2;                      % temporal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global tau  = 0.01;                         % tiempo en alta por periodo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global T    = 0.02;                         % periodo de la señal en segundos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global duty = tau / T;                      % ciclo de trabajo de 0 a 1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global f = 1 / T;                           % frecuencia de// la señal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global w = 2 * pi * f;                      % velocidad angular de la señal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global t = 0 : T / 200 : 3 * T;             % vector de tiempo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global x = tmp + tmp * square(w * t, duty); % señal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% coeficiente de la serie trigonometrica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function x = a_(n)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global amp; global duty;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x = (amp / (pi * n)) * sin(2 * pi * n * duty);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endfunction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function x = b_(n)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global amp; global duty;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x = (amp / (pi * n)) * (1 - cos(2 * pi * n * duty));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endfunction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% coeficientes de la serie simplificada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function [A O] = coef(i)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for n = 1:i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    a       = a_(n);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    b       = b_(n);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    A(n)    = sqrt(a^2 + b^2);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    O(n)    = atan2(b, a);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endfor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endfunction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% grafica la señal reconstruida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function plot_rsignal(n)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global amp; global t; global w; global duty;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[An On] = coef(n);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% creamos un vector vacio del tamaño del vector de tiempo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% y sumamos la componente de directa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x = 0 .* t .+ duty;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for i = 1 : n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    x = x + An(i) * cos(w * i * t .- On(i));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endfor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plot(t, x); axis([0 t(length(t)) -0.5 * amp amp * 1.5]);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title('Señal reconstruida'); xlabel('tiempo [ms]'); ylabel('x(t)');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endfunction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%grafica los coeficientes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function plot_coef(n, s)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global amp; global f;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[An On] = coef(n);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nv = 1 : n;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if (s == 0)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    stem(f * nv, On); axis([0 f * n]);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    title('Fase de la serie'); xlabel('frecuencia [Hz]'); ylabel('Øn');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else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    stem(f * nv, An); axis([0 f * n]);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    title('Armónicos de la señal'); xlabel('frecuencia [Hz]'); ylabel('An');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 xml:space="preserve">    endif</w:t>
      </w:r>
    </w:p>
    <w:p>
      <w:pPr>
        <w:spacing w:after="0"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t>endfunction</w:t>
      </w:r>
    </w:p>
    <w:p>
      <w:pPr>
        <w:spacing w:line="240" w:lineRule="auto"/>
        <w:rPr>
          <w:rFonts w:ascii="Hasklig" w:hAnsi="Hasklig"/>
          <w:sz w:val="23"/>
          <w:szCs w:val="23"/>
        </w:rPr>
      </w:pPr>
      <w:r>
        <w:rPr>
          <w:rFonts w:ascii="Hasklig" w:hAnsi="Hasklig"/>
          <w:sz w:val="23"/>
          <w:szCs w:val="23"/>
        </w:rPr>
        <w:br w:type="page"/>
      </w:r>
    </w:p>
    <w:p>
      <w:pPr>
        <w:spacing w:after="0"/>
      </w:pPr>
      <w:r>
        <w:t>Señal 1</w:t>
      </w:r>
    </w:p>
    <w:p>
      <w:pPr>
        <w:spacing w:after="0"/>
        <w:rPr>
          <w:rFonts w:cstheme="minorHAnsi"/>
        </w:rPr>
      </w:pPr>
      <w:r>
        <w:rPr>
          <w:rFonts w:cstheme="minorHAnsi"/>
        </w:rPr>
        <w:t>∆ = 10 [us] T = 20 [us]</w:t>
      </w:r>
    </w:p>
    <w:p>
      <w:pPr>
        <w:spacing w:after="0"/>
        <w:rPr>
          <w:lang w:eastAsia="es-MX"/>
        </w:rPr>
        <w:sectPr>
          <w:type w:val="continuous"/>
          <w:pgSz w:w="12240" w:h="15840"/>
          <w:pgMar w:top="1134" w:right="1134" w:bottom="1134" w:left="1134" w:header="709" w:footer="709" w:gutter="0"/>
          <w:cols w:space="708" w:num="1"/>
          <w:docGrid w:linePitch="360" w:charSpace="0"/>
        </w:sectPr>
      </w:pPr>
    </w:p>
    <w:tbl>
      <w:tblPr>
        <w:tblStyle w:val="4"/>
        <w:tblW w:w="4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41"/>
        <w:gridCol w:w="1541"/>
      </w:tblGrid>
      <w:tr>
        <w:tc>
          <w:tcPr>
            <w:tcW w:w="1540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# de armónico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Magnitud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Fase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2.3590e-01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1.4444e-17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7.8632e-02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1.4444e-17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4.7179e-02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1.4444e-17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3.3699e-02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1.4444e-17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2.6211e-02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1.4444e-17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2.1445e-02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1.4444e-17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1.8146e-02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1.4444e-17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1.5726e-02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1.4444e-17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1.3876e-02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1.4444e-17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1.2416e-02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1.4444e-17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1.1233e-02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5.2538e-17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1.0256e-02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1.4444e-17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9.4358e-03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1.7789e-17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-0.00000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8.7369e-03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1.4444e-17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8.1343e-03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4.2380e-17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7.6095e-03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1.4444e-17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7.1483e-03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1.0205e-17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-0.00000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6.7399e-03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1.4444e-17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6.3756e-03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3.6499e-17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6.0486e-03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1.4444e-17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5.7535e-03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5.5096e-18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-0.00000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5.4859e-03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5.2538e-17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5.2421e-03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# de armónico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Magnitud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Fase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3.2663e-17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5.0191e-03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1.4444e-17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4.8142e-03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2.3169e-18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-0.00000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4.6254e-03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1.7789e-17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-0.00000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4.4509e-03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2.9964e-17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4.2890e-03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1.4444e-17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4.1385e-03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5.0350e-21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-0.00000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3.9982e-03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4.2380e-17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3.8671e-03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2.7962e-17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3.7444e-03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1.4444e-17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3.6292e-03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1.7464e-18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3.5208e-03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1.0205e-17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-0.00000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3.4188e-03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2.6417e-17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3.3225e-03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1.4444e-17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3.2314e-03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3.1192e-18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3.1453e-03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3.6499e-17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3.0636e-03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2.5189e-17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2.9860e-03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1.4444e-17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2.9123e-03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4.5105e-17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2.8421e-03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5.5096e-18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-0.00000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2.7752e-03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2.4189e-17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2.7114e-03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5.2538e-17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2.6505e-03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5.1326e-18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# de armónico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Magnitud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Fase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2.5923e-03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3.2663e-17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2.5365e-03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1.2302e-17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-0.00000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2.4831e-03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# de armónico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Magnitud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Fase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1.4444e-17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2.4319e-03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4.0100e-17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-4.93480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2.3828e-03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-2.46740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2.3169e-18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-0.00000</w:t>
            </w:r>
          </w:p>
        </w:tc>
      </w:tr>
    </w:tbl>
    <w:p>
      <w:pPr>
        <w:spacing w:after="0"/>
        <w:rPr>
          <w:lang w:eastAsia="es-MX"/>
        </w:rPr>
        <w:sectPr>
          <w:type w:val="continuous"/>
          <w:pgSz w:w="12240" w:h="15840"/>
          <w:pgMar w:top="1134" w:right="1134" w:bottom="1134" w:left="1134" w:header="709" w:footer="709" w:gutter="0"/>
          <w:cols w:space="708" w:num="2"/>
          <w:docGrid w:linePitch="360" w:charSpace="0"/>
        </w:sectPr>
      </w:pPr>
    </w:p>
    <w:p>
      <w:pPr>
        <w:spacing w:after="0"/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6299835" cy="4734560"/>
            <wp:effectExtent l="0" t="0" r="571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73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eastAsia="es-MX"/>
        </w:rPr>
      </w:pPr>
    </w:p>
    <w:p>
      <w:pPr>
        <w:spacing w:after="0"/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5579745" cy="419354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419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5579745" cy="419354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41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eastAsia="es-MX"/>
        </w:rPr>
      </w:pPr>
    </w:p>
    <w:tbl>
      <w:tblPr>
        <w:tblStyle w:val="4"/>
        <w:tblW w:w="3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341"/>
        <w:gridCol w:w="941"/>
      </w:tblGrid>
      <w:tr>
        <w:trPr>
          <w:jc w:val="center"/>
        </w:trPr>
        <w:tc>
          <w:tcPr>
            <w:tcW w:w="1500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# de armónico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Magnitud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Fase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6.3662e-001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2.1221e-001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1.2732e-001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9.0946e-002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7.0736e-002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5.7875e-002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4.8971e-002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4.2441e-002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</w:tbl>
    <w:p>
      <w:pPr>
        <w:spacing w:after="0"/>
        <w:rPr>
          <w:lang w:eastAsia="es-MX"/>
        </w:rPr>
      </w:pPr>
    </w:p>
    <w:p>
      <w:pPr>
        <w:spacing w:after="0"/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6332220" cy="47593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eastAsia="es-MX"/>
        </w:rPr>
      </w:pPr>
    </w:p>
    <w:p>
      <w:pPr>
        <w:spacing w:after="0"/>
        <w:rPr>
          <w:lang w:eastAsia="es-MX"/>
        </w:rPr>
      </w:pPr>
    </w:p>
    <w:p>
      <w:pPr>
        <w:spacing w:after="0"/>
        <w:rPr>
          <w:lang w:eastAsia="es-MX"/>
        </w:rPr>
      </w:pPr>
    </w:p>
    <w:p>
      <w:pPr>
        <w:spacing w:after="0"/>
        <w:rPr>
          <w:lang w:eastAsia="es-MX"/>
        </w:rPr>
      </w:pPr>
    </w:p>
    <w:p>
      <w:pPr>
        <w:spacing w:after="0"/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5579745" cy="4193540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41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eastAsia="es-MX"/>
        </w:rPr>
      </w:pPr>
    </w:p>
    <w:p>
      <w:pPr>
        <w:spacing w:after="0"/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5579745" cy="4193540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41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3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341"/>
        <w:gridCol w:w="941"/>
      </w:tblGrid>
      <w:tr>
        <w:trPr>
          <w:jc w:val="center"/>
        </w:trPr>
        <w:tc>
          <w:tcPr>
            <w:tcW w:w="1500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# de armónico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Magnitud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Fase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6.3662e-001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2.1221e-001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1.2732e-001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</w:tbl>
    <w:p>
      <w:pPr>
        <w:spacing w:after="0"/>
        <w:jc w:val="center"/>
        <w:rPr>
          <w:lang w:eastAsia="es-MX"/>
        </w:rPr>
      </w:pPr>
    </w:p>
    <w:p>
      <w:pPr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6332220" cy="475932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s-MX"/>
        </w:rPr>
        <w:br w:type="page"/>
      </w:r>
    </w:p>
    <w:p>
      <w:pPr>
        <w:spacing w:after="0"/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5579745" cy="4193540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41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s-MX"/>
        </w:rPr>
        <w:drawing>
          <wp:inline distT="0" distB="0" distL="0" distR="0">
            <wp:extent cx="5579745" cy="4193540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41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lang w:eastAsia="es-MX"/>
        </w:rPr>
      </w:pPr>
    </w:p>
    <w:p>
      <w:pPr>
        <w:spacing w:after="0"/>
      </w:pPr>
      <w:r>
        <w:t>Señal 2</w:t>
      </w:r>
    </w:p>
    <w:p>
      <w:pPr>
        <w:spacing w:after="0"/>
        <w:rPr>
          <w:rFonts w:cstheme="minorHAnsi"/>
        </w:rPr>
      </w:pPr>
      <w:r>
        <w:rPr>
          <w:rFonts w:cstheme="minorHAnsi"/>
        </w:rPr>
        <w:t>∆ = 1 [ms]</w:t>
      </w:r>
    </w:p>
    <w:p>
      <w:pPr>
        <w:spacing w:after="0"/>
        <w:rPr>
          <w:lang w:eastAsia="es-MX"/>
        </w:rPr>
      </w:pPr>
      <w:r>
        <w:rPr>
          <w:rFonts w:cstheme="minorHAnsi"/>
        </w:rPr>
        <w:t>T = 2 [ms]</w:t>
      </w:r>
      <w:r>
        <w:rPr>
          <w:lang w:eastAsia="es-MX"/>
        </w:rPr>
        <w:t xml:space="preserve"> </w:t>
      </w:r>
    </w:p>
    <w:p>
      <w:pPr>
        <w:spacing w:after="0"/>
        <w:rPr>
          <w:lang w:eastAsia="es-MX"/>
        </w:rPr>
        <w:sectPr>
          <w:type w:val="continuous"/>
          <w:pgSz w:w="12240" w:h="15840"/>
          <w:pgMar w:top="1134" w:right="1134" w:bottom="1134" w:left="1134" w:header="709" w:footer="709" w:gutter="0"/>
          <w:cols w:space="708" w:num="1"/>
          <w:docGrid w:linePitch="360" w:charSpace="0"/>
        </w:sectPr>
      </w:pPr>
    </w:p>
    <w:tbl>
      <w:tblPr>
        <w:tblStyle w:val="4"/>
        <w:tblW w:w="4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41"/>
        <w:gridCol w:w="1541"/>
      </w:tblGrid>
      <w:tr>
        <w:tc>
          <w:tcPr>
            <w:tcW w:w="1540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# de armónico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Magnitud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Fase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6.3662e-001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2.1221e-001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1.2732e-001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9.0946e-002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7.0736e-002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5.7875e-002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4.8971e-002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4.2441e-002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# de armónico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Magnitud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Fase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3.7448e-002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3.3506e-002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3.0315e-002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1.4179e-016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2.7679e-002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2.5465e-002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4.8009e-017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0.00000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2.3579e-002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2.1952e-002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1.1437e-016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</w:tbl>
    <w:p>
      <w:pPr>
        <w:spacing w:after="0"/>
        <w:rPr>
          <w:lang w:eastAsia="es-MX"/>
        </w:rPr>
        <w:sectPr>
          <w:type w:val="continuous"/>
          <w:pgSz w:w="12240" w:h="15840"/>
          <w:pgMar w:top="1134" w:right="1134" w:bottom="1134" w:left="1134" w:header="709" w:footer="709" w:gutter="0"/>
          <w:cols w:space="708" w:num="2"/>
          <w:docGrid w:linePitch="360" w:charSpace="0"/>
        </w:sectPr>
      </w:pPr>
    </w:p>
    <w:p>
      <w:pPr>
        <w:spacing w:after="0"/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6299200" cy="4734560"/>
            <wp:effectExtent l="0" t="0" r="635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481" cy="473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eastAsia="es-MX"/>
        </w:rPr>
      </w:pPr>
    </w:p>
    <w:p>
      <w:pPr>
        <w:spacing w:after="0"/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5579110" cy="419354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541" cy="419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5579110" cy="4193540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538" cy="41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eastAsia="es-MX"/>
        </w:rPr>
      </w:pPr>
    </w:p>
    <w:tbl>
      <w:tblPr>
        <w:tblStyle w:val="4"/>
        <w:tblW w:w="3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341"/>
        <w:gridCol w:w="941"/>
      </w:tblGrid>
      <w:tr>
        <w:trPr>
          <w:jc w:val="center"/>
        </w:trPr>
        <w:tc>
          <w:tcPr>
            <w:tcW w:w="1500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# de armónico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Magnitud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Fase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6.3662e-001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2.1221e-001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1.2732e-001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9.0946e-002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7.0736e-002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5.7875e-002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4.8971e-002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4.2441e-002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</w:tbl>
    <w:p>
      <w:pPr>
        <w:spacing w:after="0"/>
        <w:rPr>
          <w:lang w:eastAsia="es-MX"/>
        </w:rPr>
      </w:pPr>
    </w:p>
    <w:p>
      <w:pPr>
        <w:spacing w:after="0"/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6331585" cy="475932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696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eastAsia="es-MX"/>
        </w:rPr>
      </w:pPr>
    </w:p>
    <w:p>
      <w:pPr>
        <w:spacing w:after="0"/>
        <w:rPr>
          <w:lang w:eastAsia="es-MX"/>
        </w:rPr>
      </w:pPr>
    </w:p>
    <w:p>
      <w:pPr>
        <w:spacing w:after="0"/>
        <w:rPr>
          <w:lang w:eastAsia="es-MX"/>
        </w:rPr>
      </w:pPr>
    </w:p>
    <w:p>
      <w:pPr>
        <w:spacing w:after="0"/>
        <w:rPr>
          <w:lang w:eastAsia="es-MX"/>
        </w:rPr>
      </w:pPr>
    </w:p>
    <w:p>
      <w:pPr>
        <w:spacing w:after="0"/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5579110" cy="4193540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538" cy="41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eastAsia="es-MX"/>
        </w:rPr>
      </w:pPr>
    </w:p>
    <w:p>
      <w:pPr>
        <w:spacing w:after="0"/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5579110" cy="4193540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538" cy="41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3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341"/>
        <w:gridCol w:w="941"/>
      </w:tblGrid>
      <w:tr>
        <w:trPr>
          <w:jc w:val="center"/>
        </w:trPr>
        <w:tc>
          <w:tcPr>
            <w:tcW w:w="1500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# de armónico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Magnitud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Fase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6.3662e-001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2.1221e-001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1.2732e-001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</w:tbl>
    <w:p>
      <w:pPr>
        <w:spacing w:after="0"/>
        <w:jc w:val="center"/>
        <w:rPr>
          <w:lang w:eastAsia="es-MX"/>
        </w:rPr>
      </w:pPr>
    </w:p>
    <w:p>
      <w:pPr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6331585" cy="475932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696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s-MX"/>
        </w:rPr>
        <w:br w:type="page"/>
      </w:r>
    </w:p>
    <w:p>
      <w:pPr>
        <w:spacing w:after="0"/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5579110" cy="4193540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538" cy="41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s-MX"/>
        </w:rPr>
        <w:drawing>
          <wp:inline distT="0" distB="0" distL="0" distR="0">
            <wp:extent cx="5579745" cy="4154805"/>
            <wp:effectExtent l="0" t="0" r="190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41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eastAsia="es-MX"/>
        </w:rPr>
      </w:pPr>
    </w:p>
    <w:p>
      <w:pPr>
        <w:spacing w:after="0"/>
      </w:pPr>
      <w:r>
        <w:t>Señal 3</w:t>
      </w:r>
    </w:p>
    <w:p>
      <w:pPr>
        <w:spacing w:after="0"/>
        <w:rPr>
          <w:rFonts w:cstheme="minorHAnsi"/>
        </w:rPr>
      </w:pPr>
      <w:r>
        <w:rPr>
          <w:rFonts w:cstheme="minorHAnsi"/>
        </w:rPr>
        <w:t>∆ = 0.1 [ms]</w:t>
      </w:r>
    </w:p>
    <w:p>
      <w:pPr>
        <w:spacing w:after="0"/>
        <w:rPr>
          <w:lang w:eastAsia="es-MX"/>
        </w:rPr>
      </w:pPr>
      <w:r>
        <w:rPr>
          <w:rFonts w:cstheme="minorHAnsi"/>
        </w:rPr>
        <w:t>T = 0.2 [ms]</w:t>
      </w:r>
      <w:r>
        <w:rPr>
          <w:lang w:eastAsia="es-MX"/>
        </w:rPr>
        <w:t xml:space="preserve"> </w:t>
      </w:r>
    </w:p>
    <w:p>
      <w:pPr>
        <w:spacing w:after="0"/>
        <w:rPr>
          <w:lang w:eastAsia="es-MX"/>
        </w:rPr>
        <w:sectPr>
          <w:type w:val="continuous"/>
          <w:pgSz w:w="12240" w:h="15840"/>
          <w:pgMar w:top="1134" w:right="1134" w:bottom="1134" w:left="1134" w:header="709" w:footer="709" w:gutter="0"/>
          <w:cols w:space="708" w:num="1"/>
          <w:docGrid w:linePitch="360" w:charSpace="0"/>
        </w:sectPr>
      </w:pPr>
    </w:p>
    <w:tbl>
      <w:tblPr>
        <w:tblStyle w:val="4"/>
        <w:tblW w:w="4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41"/>
        <w:gridCol w:w="1541"/>
      </w:tblGrid>
      <w:tr>
        <w:tc>
          <w:tcPr>
            <w:tcW w:w="1540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# de armónico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Magnitud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Fase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6.3662e-001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2.1221e-001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1.2732e-001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9.0946e-002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7.0736e-002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5.7875e-002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4.8971e-002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4.2441e-002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# de armónico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Magnitud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Fase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3.7448e-002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3.3506e-002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3.0315e-002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1.4179e-016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2.7679e-002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2.5465e-002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4.8009e-017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0.00000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2.3579e-002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2.1952e-002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c>
          <w:tcPr>
            <w:tcW w:w="1540" w:type="dxa"/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1.1437e-016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</w:tbl>
    <w:p>
      <w:pPr>
        <w:spacing w:after="0"/>
        <w:rPr>
          <w:lang w:eastAsia="es-MX"/>
        </w:rPr>
        <w:sectPr>
          <w:type w:val="continuous"/>
          <w:pgSz w:w="12240" w:h="15840"/>
          <w:pgMar w:top="1134" w:right="1134" w:bottom="1134" w:left="1134" w:header="709" w:footer="709" w:gutter="0"/>
          <w:cols w:space="708" w:num="2"/>
          <w:docGrid w:linePitch="360" w:charSpace="0"/>
        </w:sectPr>
      </w:pPr>
    </w:p>
    <w:p>
      <w:pPr>
        <w:spacing w:after="0"/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6299200" cy="4734560"/>
            <wp:effectExtent l="0" t="0" r="635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481" cy="473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eastAsia="es-MX"/>
        </w:rPr>
      </w:pPr>
    </w:p>
    <w:p>
      <w:pPr>
        <w:spacing w:after="0"/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5579110" cy="4193540"/>
            <wp:effectExtent l="0" t="0" r="254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541" cy="419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5579110" cy="4193540"/>
            <wp:effectExtent l="0" t="0" r="254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538" cy="41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eastAsia="es-MX"/>
        </w:rPr>
      </w:pPr>
    </w:p>
    <w:tbl>
      <w:tblPr>
        <w:tblStyle w:val="4"/>
        <w:tblW w:w="3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341"/>
        <w:gridCol w:w="941"/>
      </w:tblGrid>
      <w:tr>
        <w:trPr>
          <w:jc w:val="center"/>
        </w:trPr>
        <w:tc>
          <w:tcPr>
            <w:tcW w:w="1500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# de armónico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Magnitud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Fase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6.3662e-001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2.1221e-001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1.2732e-001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9.0946e-002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7.0736e-002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5.7875e-002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4.8971e-002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4.2441e-002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</w:tbl>
    <w:p>
      <w:pPr>
        <w:spacing w:after="0"/>
        <w:rPr>
          <w:lang w:eastAsia="es-MX"/>
        </w:rPr>
      </w:pPr>
    </w:p>
    <w:p>
      <w:pPr>
        <w:spacing w:after="0"/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6331585" cy="4759325"/>
            <wp:effectExtent l="0" t="0" r="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696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eastAsia="es-MX"/>
        </w:rPr>
      </w:pPr>
    </w:p>
    <w:p>
      <w:pPr>
        <w:spacing w:after="0"/>
        <w:rPr>
          <w:lang w:eastAsia="es-MX"/>
        </w:rPr>
      </w:pPr>
    </w:p>
    <w:p>
      <w:pPr>
        <w:spacing w:after="0"/>
        <w:rPr>
          <w:lang w:eastAsia="es-MX"/>
        </w:rPr>
      </w:pPr>
    </w:p>
    <w:p>
      <w:pPr>
        <w:spacing w:after="0"/>
        <w:rPr>
          <w:lang w:eastAsia="es-MX"/>
        </w:rPr>
      </w:pPr>
    </w:p>
    <w:p>
      <w:pPr>
        <w:spacing w:after="0"/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5579110" cy="4193540"/>
            <wp:effectExtent l="0" t="0" r="254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538" cy="41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eastAsia="es-MX"/>
        </w:rPr>
      </w:pPr>
    </w:p>
    <w:p>
      <w:pPr>
        <w:spacing w:after="0"/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5579110" cy="4193540"/>
            <wp:effectExtent l="0" t="0" r="254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538" cy="41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3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341"/>
        <w:gridCol w:w="941"/>
      </w:tblGrid>
      <w:tr>
        <w:trPr>
          <w:jc w:val="center"/>
        </w:trPr>
        <w:tc>
          <w:tcPr>
            <w:tcW w:w="1500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# de armónico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Magnitud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t>Fase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6.3662e-001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2.1221e-001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3.8980e-017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3.14159</w:t>
            </w:r>
          </w:p>
        </w:tc>
      </w:tr>
      <w:tr>
        <w:trPr>
          <w:jc w:val="center"/>
        </w:trPr>
        <w:tc>
          <w:tcPr>
            <w:tcW w:w="1500" w:type="dxa"/>
          </w:tcPr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lang w:eastAsia="es-MX"/>
              </w:rPr>
            </w:pPr>
          </w:p>
        </w:tc>
        <w:tc>
          <w:tcPr>
            <w:tcW w:w="1341" w:type="dxa"/>
          </w:tcPr>
          <w:p>
            <w:pPr>
              <w:spacing w:after="0" w:line="240" w:lineRule="auto"/>
            </w:pPr>
            <w:r>
              <w:t>1.2732e-001</w:t>
            </w:r>
          </w:p>
        </w:tc>
        <w:tc>
          <w:tcPr>
            <w:tcW w:w="941" w:type="dxa"/>
          </w:tcPr>
          <w:p>
            <w:pPr>
              <w:spacing w:after="0" w:line="240" w:lineRule="auto"/>
            </w:pPr>
            <w:r>
              <w:t>1.57080</w:t>
            </w:r>
          </w:p>
        </w:tc>
      </w:tr>
    </w:tbl>
    <w:p>
      <w:pPr>
        <w:spacing w:after="0"/>
        <w:jc w:val="center"/>
        <w:rPr>
          <w:lang w:eastAsia="es-MX"/>
        </w:rPr>
      </w:pPr>
    </w:p>
    <w:p>
      <w:pPr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6331585" cy="4759325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696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s-MX"/>
        </w:rPr>
        <w:br w:type="page"/>
      </w:r>
    </w:p>
    <w:p>
      <w:pPr>
        <w:spacing w:after="0"/>
        <w:jc w:val="center"/>
        <w:rPr>
          <w:lang w:eastAsia="es-MX"/>
        </w:rPr>
      </w:pPr>
      <w:r>
        <w:rPr>
          <w:lang w:eastAsia="es-MX"/>
        </w:rPr>
        <w:drawing>
          <wp:inline distT="0" distB="0" distL="0" distR="0">
            <wp:extent cx="5579110" cy="4193540"/>
            <wp:effectExtent l="0" t="0" r="254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538" cy="41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s-MX"/>
        </w:rPr>
        <w:drawing>
          <wp:inline distT="0" distB="0" distL="0" distR="0">
            <wp:extent cx="5579110" cy="4193540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538" cy="41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sectPr>
      <w:type w:val="continuous"/>
      <w:pgSz w:w="12240" w:h="15840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803050406030204"/>
    <w:charset w:val="00"/>
    <w:family w:val="modern"/>
    <w:pitch w:val="default"/>
    <w:sig w:usb0="E00002FF" w:usb1="4000045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asklig">
    <w:panose1 w:val="020B0509030403020204"/>
    <w:charset w:val="00"/>
    <w:family w:val="swiss"/>
    <w:pitch w:val="default"/>
    <w:sig w:usb0="200002F7" w:usb1="02003803" w:usb2="00000000" w:usb3="00000000" w:csb0="6000019F" w:csb1="00000000"/>
  </w:font>
  <w:font w:name="Calibri">
    <w:panose1 w:val="020F03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3047076">
    <w:nsid w:val="632015A4"/>
    <w:multiLevelType w:val="multilevel"/>
    <w:tmpl w:val="632015A4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940787">
    <w:nsid w:val="0E102BB3"/>
    <w:multiLevelType w:val="multilevel"/>
    <w:tmpl w:val="0E102BB3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7470985">
    <w:nsid w:val="4CBD3F89"/>
    <w:multiLevelType w:val="multilevel"/>
    <w:tmpl w:val="4CBD3F89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0690496">
    <w:nsid w:val="52E440C0"/>
    <w:multiLevelType w:val="multilevel"/>
    <w:tmpl w:val="52E440C0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2835452">
    <w:nsid w:val="5F8953FC"/>
    <w:multiLevelType w:val="multilevel"/>
    <w:tmpl w:val="5F8953FC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8622560">
    <w:nsid w:val="2C9F12E0"/>
    <w:multiLevelType w:val="multilevel"/>
    <w:tmpl w:val="2C9F12E0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113416">
    <w:nsid w:val="119712C8"/>
    <w:multiLevelType w:val="multilevel"/>
    <w:tmpl w:val="119712C8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0563416">
    <w:nsid w:val="58D83158"/>
    <w:multiLevelType w:val="multilevel"/>
    <w:tmpl w:val="58D83158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3891685">
    <w:nsid w:val="3ED11C65"/>
    <w:multiLevelType w:val="multilevel"/>
    <w:tmpl w:val="3ED11C65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87470985"/>
  </w:num>
  <w:num w:numId="2">
    <w:abstractNumId w:val="235940787"/>
  </w:num>
  <w:num w:numId="3">
    <w:abstractNumId w:val="1663047076"/>
  </w:num>
  <w:num w:numId="4">
    <w:abstractNumId w:val="1602835452"/>
  </w:num>
  <w:num w:numId="5">
    <w:abstractNumId w:val="748622560"/>
  </w:num>
  <w:num w:numId="6">
    <w:abstractNumId w:val="1390690496"/>
  </w:num>
  <w:num w:numId="7">
    <w:abstractNumId w:val="1490563416"/>
  </w:num>
  <w:num w:numId="8">
    <w:abstractNumId w:val="1053891685"/>
  </w:num>
  <w:num w:numId="9">
    <w:abstractNumId w:val="2951134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BC"/>
    <w:rsid w:val="00357E8D"/>
    <w:rsid w:val="00544E84"/>
    <w:rsid w:val="00562143"/>
    <w:rsid w:val="005B5644"/>
    <w:rsid w:val="005E5B40"/>
    <w:rsid w:val="00607323"/>
    <w:rsid w:val="00620AE1"/>
    <w:rsid w:val="006F1FA1"/>
    <w:rsid w:val="007430BC"/>
    <w:rsid w:val="0076034B"/>
    <w:rsid w:val="007F441F"/>
    <w:rsid w:val="00824740"/>
    <w:rsid w:val="00F339C9"/>
    <w:rsid w:val="CFDFF02B"/>
  </w:rsids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1272</Words>
  <Characters>6997</Characters>
  <Lines>58</Lines>
  <Paragraphs>16</Paragraphs>
  <TotalTime>0</TotalTime>
  <ScaleCrop>false</ScaleCrop>
  <LinksUpToDate>false</LinksUpToDate>
  <CharactersWithSpaces>8253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2017-03-18T01:29:00Z</dcterms:created>
  <dc:creator>Óscar Emilio Cabrera López</dc:creator>
  <cp:lastModifiedBy>emilio1625</cp:lastModifiedBy>
  <dcterms:modified xsi:type="dcterms:W3CDTF">2017-03-18T01:34:16Z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