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commentsExtensible+xml" PartName="/word/commentsExtensibl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Ids+xml" PartName="/word/commentsId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Título del paper</w:t>
      </w:r>
    </w:p>
    <w:p w:rsidR="00000000" w:rsidDel="00000000" w:rsidP="00000000" w:rsidRDefault="00000000" w:rsidRPr="00000000" w14:paraId="00000002">
      <w:pPr>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Adrián Quesada Jiménez, UCR, </w:t>
      </w:r>
    </w:p>
    <w:p w:rsidR="00000000" w:rsidDel="00000000" w:rsidP="00000000" w:rsidRDefault="00000000" w:rsidRPr="00000000" w14:paraId="0000000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Camila Alpízar Alfaro, UCR,</w:t>
      </w:r>
    </w:p>
    <w:p w:rsidR="00000000" w:rsidDel="00000000" w:rsidP="00000000" w:rsidRDefault="00000000" w:rsidRPr="00000000" w14:paraId="0000000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Emilio Calderón Jiménez, UCR, </w:t>
      </w:r>
    </w:p>
    <w:p w:rsidR="00000000" w:rsidDel="00000000" w:rsidP="00000000" w:rsidRDefault="00000000" w:rsidRPr="00000000" w14:paraId="0000000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Gustavo Jiménez Hidaldo, UCR,</w:t>
      </w:r>
    </w:p>
    <w:p w:rsidR="00000000" w:rsidDel="00000000" w:rsidP="00000000" w:rsidRDefault="00000000" w:rsidRPr="00000000" w14:paraId="0000000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Justin Zhu Fan, UCR,</w:t>
      </w:r>
    </w:p>
    <w:p w:rsidR="00000000" w:rsidDel="00000000" w:rsidP="00000000" w:rsidRDefault="00000000" w:rsidRPr="00000000" w14:paraId="0000000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Salma Capín Romero, UCR, </w:t>
      </w:r>
      <w:hyperlink r:id="rId10">
        <w:r w:rsidDel="00000000" w:rsidR="00000000" w:rsidRPr="00000000">
          <w:rPr>
            <w:rFonts w:ascii="Times New Roman" w:cs="Times New Roman" w:eastAsia="Times New Roman" w:hAnsi="Times New Roman"/>
            <w:color w:val="1155cc"/>
            <w:sz w:val="20"/>
            <w:szCs w:val="20"/>
            <w:u w:val="single"/>
            <w:rtl w:val="0"/>
          </w:rPr>
          <w:t xml:space="preserve">capinsalma@gmail.com</w:t>
        </w:r>
      </w:hyperlink>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i w:val="1"/>
          <w:iCs w:val="1"/>
          <w:sz w:val="20"/>
          <w:szCs w:val="20"/>
        </w:rPr>
        <w:sectPr>
          <w:pgSz w:h="15840" w:w="12240"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00B">
      <w:pPr>
        <w:spacing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Resumen </w:t>
      </w: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b w:val="1"/>
          <w:bCs w:val="1"/>
          <w:sz w:val="20"/>
          <w:szCs w:val="20"/>
          <w:rtl w:val="0"/>
        </w:rPr>
        <w:t xml:space="preserve"> (todo en negrita)</w:t>
      </w:r>
    </w:p>
    <w:p w:rsidR="00000000" w:rsidDel="00000000" w:rsidP="00000000" w:rsidRDefault="00000000" w:rsidRPr="00000000" w14:paraId="0000000C">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D">
      <w:pPr>
        <w:spacing w:line="240" w:lineRule="auto"/>
        <w:jc w:val="both"/>
        <w:rPr>
          <w:rFonts w:ascii="Times New Roman" w:cs="Times New Roman" w:eastAsia="Times New Roman" w:hAnsi="Times New Roman"/>
          <w:b w:val="1"/>
          <w:bCs w:val="1"/>
          <w:sz w:val="20"/>
          <w:szCs w:val="20"/>
        </w:rPr>
        <w:sectPr>
          <w:type w:val="continuous"/>
          <w:pgSz w:h="15840" w:w="12240" w:orient="portrait"/>
          <w:pgMar w:bottom="1440.0000000000002" w:top="1440.0000000000002" w:left="1440.0000000000002" w:right="1440.0000000000002" w:header="720" w:footer="720"/>
          <w:cols w:equalWidth="0" w:num="1">
            <w:col w:space="0" w:w="9360"/>
          </w:cols>
        </w:sectPr>
      </w:pPr>
      <w:r w:rsidDel="00000000" w:rsidR="00000000" w:rsidRPr="00000000">
        <w:rPr>
          <w:rFonts w:ascii="Times New Roman" w:cs="Times New Roman" w:eastAsia="Times New Roman" w:hAnsi="Times New Roman"/>
          <w:b w:val="1"/>
          <w:bCs w:val="1"/>
          <w:i w:val="1"/>
          <w:iCs w:val="1"/>
          <w:sz w:val="20"/>
          <w:szCs w:val="20"/>
          <w:rtl w:val="0"/>
        </w:rPr>
        <w:t xml:space="preserve">Palabras clave </w:t>
      </w:r>
      <w:r w:rsidDel="00000000" w:rsidR="00000000" w:rsidRPr="00000000">
        <w:rPr>
          <w:rFonts w:ascii="Times New Roman" w:cs="Times New Roman" w:eastAsia="Times New Roman" w:hAnsi="Times New Roman"/>
          <w:b w:val="1"/>
          <w:bCs w:val="1"/>
          <w:sz w:val="20"/>
          <w:szCs w:val="20"/>
          <w:rtl w:val="0"/>
        </w:rPr>
        <w:t xml:space="preserve">– (todo en negrita)</w:t>
      </w:r>
    </w:p>
    <w:p w:rsidR="00000000" w:rsidDel="00000000" w:rsidP="00000000" w:rsidRDefault="00000000" w:rsidRPr="00000000" w14:paraId="0000000E">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F">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0">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 INTRODUCCIÓN</w:t>
      </w:r>
    </w:p>
    <w:p w:rsidR="00000000" w:rsidDel="00000000" w:rsidP="00000000" w:rsidRDefault="00000000" w:rsidRPr="00000000" w14:paraId="00000011">
      <w:pPr>
        <w:spacing w:line="2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A. Planteamiento del problema</w:t>
      </w:r>
    </w:p>
    <w:p w:rsidR="00000000" w:rsidDel="00000000" w:rsidP="00000000" w:rsidRDefault="00000000" w:rsidRPr="00000000" w14:paraId="00000013">
      <w:pP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14">
      <w:pPr>
        <w:spacing w:line="240" w:lineRule="auto"/>
        <w:ind w:firstLine="7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 el entorno digital contemporáneo, las plataformas de comercio electrónico se enfrentan al desafío de gestionar volúmenes masivos de datos caracterizados por su alta velocidad de generación y su heterogeneidad estructural. Como expone Maamari y Nasar (2025) la tecnología intensiva en datos ha tenido una rápida expansión, lo que ha llevado a los sistemas tradicionales de bases de datos relacionales al límite, con lo cual se ha impulsado la adopción de bases de datos NoSQL como MongoDB.</w:t>
      </w:r>
    </w:p>
    <w:p w:rsidR="00000000" w:rsidDel="00000000" w:rsidP="00000000" w:rsidRDefault="00000000" w:rsidRPr="00000000" w14:paraId="00000015">
      <w:pPr>
        <w:spacing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Los modelos de bases de datos relacionales tradicionales, basados en esquemas rígidos de tablas y columnas fuertemente normalizadas, presentan severas limitaciones cuando intentan soportar catálogos de productos altamente diversificados y evolutivos en tiempo real.</w:t>
      </w:r>
    </w:p>
    <w:p w:rsidR="00000000" w:rsidDel="00000000" w:rsidP="00000000" w:rsidRDefault="00000000" w:rsidRPr="00000000" w14:paraId="00000016">
      <w:pPr>
        <w:spacing w:line="240" w:lineRule="auto"/>
        <w:ind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Para el caso de negocio de MercadoTico 360, esta problemática se manifiesta en tres puntos operacionales críticas:</w:t>
      </w:r>
    </w:p>
    <w:p w:rsidR="00000000" w:rsidDel="00000000" w:rsidP="00000000" w:rsidRDefault="00000000" w:rsidRPr="00000000" w14:paraId="00000017">
      <w:pPr>
        <w:numPr>
          <w:ilvl w:val="0"/>
          <w:numId w:val="3"/>
        </w:num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Inflexibilidad del catálogo: </w:t>
      </w:r>
      <w:r w:rsidDel="00000000" w:rsidR="00000000" w:rsidRPr="00000000">
        <w:rPr>
          <w:rFonts w:ascii="Times New Roman" w:cs="Times New Roman" w:eastAsia="Times New Roman" w:hAnsi="Times New Roman"/>
          <w:sz w:val="20"/>
          <w:szCs w:val="20"/>
          <w:rtl w:val="0"/>
        </w:rPr>
        <w:t xml:space="preserve">La coexistencia de categorías disímiles (alimentos, ropa, tecnología, artesanías y servicios) bajo un enfoque relacional obligaría al uso ineficiente de múltiples tablas unidas mediante operaciones complejas (JOINs) o a la proliferación de campos nulos en tablas sobredimensionadas. Es aquí donde aparecen las bases de datos NoSQL de documentos que se adaptan naturalmente al modelo de datos de documentos flexible y permite una fácil extensión a nuevos formatos de registro (Grolinger, K., Higashino, W. A., Tiwari, A., &amp; Capretz, M. A, 2013).</w:t>
      </w:r>
    </w:p>
    <w:p w:rsidR="00000000" w:rsidDel="00000000" w:rsidP="00000000" w:rsidRDefault="00000000" w:rsidRPr="00000000" w14:paraId="00000018">
      <w:pPr>
        <w:spacing w:line="240" w:lineRule="auto"/>
        <w:ind w:left="72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9">
      <w:pPr>
        <w:numPr>
          <w:ilvl w:val="0"/>
          <w:numId w:val="3"/>
        </w:num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Degradación del rendimiento y pérdida de integridad histórica:</w:t>
      </w:r>
      <w:r w:rsidDel="00000000" w:rsidR="00000000" w:rsidRPr="00000000">
        <w:rPr>
          <w:rFonts w:ascii="Times New Roman" w:cs="Times New Roman" w:eastAsia="Times New Roman" w:hAnsi="Times New Roman"/>
          <w:sz w:val="20"/>
          <w:szCs w:val="20"/>
          <w:rtl w:val="0"/>
        </w:rPr>
        <w:t xml:space="preserve"> El procesamiento de pedidos transaccionales que dependen de catálogos dinámicos pone en riesgo la inmutabilidad del historial de compras si un producto cambia de precio o atributos en el futuro, además de ralentizar las consultas debido a la fragmentación de la información de las líneas de detalle. Es aquí donde algunos artículos exponen que “Las bases de datos NoSQL carecen de confidencialidad e integridad, y salvaguardar la integridad en estas bases de datos. La naturaleza heterogénea de las bases de datos NoSQL dificulta la protección de la integridad de los datos.” Gupta, N., &amp; Agrawal, R. (2018).  Con lo cual se encuentra una carecía de los sistemas que se investiga como socavar, sin embargo, es uno de los puntos a tener en cuenta al investigar las tecnologías y decidir que tan aceptables son las problemáticas que puedan presentar.</w:t>
      </w:r>
    </w:p>
    <w:p w:rsidR="00000000" w:rsidDel="00000000" w:rsidP="00000000" w:rsidRDefault="00000000" w:rsidRPr="00000000" w14:paraId="0000001A">
      <w:pPr>
        <w:spacing w:line="240" w:lineRule="auto"/>
        <w:ind w:left="72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B">
      <w:pPr>
        <w:numPr>
          <w:ilvl w:val="0"/>
          <w:numId w:val="3"/>
        </w:num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Escalabilidad y disponibilidad:</w:t>
      </w:r>
      <w:r w:rsidDel="00000000" w:rsidR="00000000" w:rsidRPr="00000000">
        <w:rPr>
          <w:rFonts w:ascii="Times New Roman" w:cs="Times New Roman" w:eastAsia="Times New Roman" w:hAnsi="Times New Roman"/>
          <w:sz w:val="20"/>
          <w:szCs w:val="20"/>
          <w:rtl w:val="0"/>
        </w:rPr>
        <w:t xml:space="preserve"> Los picos de tráfico en eventos de alta demanda exigen una infraestructura con alta tolerancia a fallos y capacidad de escalamiento horizontal económico, Investigadores como Grolinger, K., Higashino, W. A., Tiwari, A., &amp; Capretz, M. A. (2013) esclarecen que los sistemas NoSQL tiene una escalabilidad horizontal, con una distribución eficiente, por ejemplo, permite añadir nuevos nodos fácilmente, además también tienen técnicas como el sharding y la replicación. Con lo que los sistemas NoSQL muestran capacidades que las arquitecturas relacionales monolíticas no pueden garantizar de forma óptima.</w:t>
      </w:r>
    </w:p>
    <w:p w:rsidR="00000000" w:rsidDel="00000000" w:rsidP="00000000" w:rsidRDefault="00000000" w:rsidRPr="00000000" w14:paraId="0000001C">
      <w:pPr>
        <w:spacing w:line="240" w:lineRule="auto"/>
        <w:ind w:left="72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D">
      <w:pPr>
        <w:spacing w:line="240" w:lineRule="auto"/>
        <w:ind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Ante este escenario, se vuelve indispensable migrar hacia un paradigma no relacional (NoSQL) orientado a documentos en la nube, el cual permita flexibilizar el almacenamiento del catálogo, garantizar la persistencia histórica e inmutable de las transacciones y asegurar un rendimiento analítico avanzado y escalable.</w:t>
      </w:r>
    </w:p>
    <w:p w:rsidR="00000000" w:rsidDel="00000000" w:rsidP="00000000" w:rsidRDefault="00000000" w:rsidRPr="00000000" w14:paraId="0000001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1F">
      <w:pPr>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B. Objetivos y alcance</w:t>
      </w:r>
    </w:p>
    <w:p w:rsidR="00000000" w:rsidDel="00000000" w:rsidP="00000000" w:rsidRDefault="00000000" w:rsidRPr="00000000" w14:paraId="00000020">
      <w:pPr>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w:t>
      </w:r>
    </w:p>
    <w:p w:rsidR="00000000" w:rsidDel="00000000" w:rsidP="00000000" w:rsidRDefault="00000000" w:rsidRPr="00000000" w14:paraId="00000021">
      <w:pPr>
        <w:spacing w:lin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Para el objetivo general se busca diseñar e implementar un modelo de base de datos no relacional orientado a documentos utilizando MongoDB Atlas para la plataforma de comercio electrónico MercadoTico 360, con el fin de optimizar la gestión de inventarios heterogéneos, asegurar la inmutabilidad del historial de pedidos y garantizar la escalabilidad horizontal del sistema. Seguidamente para los objetivos específicos se tienen:</w:t>
      </w:r>
    </w:p>
    <w:p w:rsidR="00000000" w:rsidDel="00000000" w:rsidP="00000000" w:rsidRDefault="00000000" w:rsidRPr="00000000" w14:paraId="00000022">
      <w:pPr>
        <w:numPr>
          <w:ilvl w:val="0"/>
          <w:numId w:val="2"/>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Configurar</w:t>
      </w:r>
      <w:r w:rsidDel="00000000" w:rsidR="00000000" w:rsidRPr="00000000">
        <w:rPr>
          <w:rFonts w:ascii="Times New Roman" w:cs="Times New Roman" w:eastAsia="Times New Roman" w:hAnsi="Times New Roman"/>
          <w:sz w:val="20"/>
          <w:szCs w:val="20"/>
          <w:rtl w:val="0"/>
        </w:rPr>
        <w:t xml:space="preserve"> la arquitectura de almacenamiento en la nube a través de clústeres distribuidos en MongoDB Atlas para asegurar la alta disponibilidad, el aislamiento de consultas y la tolerancia a fallos de la plataforma.</w:t>
      </w:r>
    </w:p>
    <w:p w:rsidR="00000000" w:rsidDel="00000000" w:rsidP="00000000" w:rsidRDefault="00000000" w:rsidRPr="00000000" w14:paraId="00000023">
      <w:pPr>
        <w:ind w:left="72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4">
      <w:pPr>
        <w:numPr>
          <w:ilvl w:val="0"/>
          <w:numId w:val="2"/>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Evaluar</w:t>
      </w:r>
      <w:r w:rsidDel="00000000" w:rsidR="00000000" w:rsidRPr="00000000">
        <w:rPr>
          <w:rFonts w:ascii="Times New Roman" w:cs="Times New Roman" w:eastAsia="Times New Roman" w:hAnsi="Times New Roman"/>
          <w:sz w:val="20"/>
          <w:szCs w:val="20"/>
          <w:rtl w:val="0"/>
        </w:rPr>
        <w:t xml:space="preserve"> las limitantes del modelo relacional frente a las ventajas del modelo NoSQL orientado a documentos para entornos transaccionales de alta velocidad y volumen.</w:t>
      </w:r>
    </w:p>
    <w:p w:rsidR="00000000" w:rsidDel="00000000" w:rsidP="00000000" w:rsidRDefault="00000000" w:rsidRPr="00000000" w14:paraId="00000025">
      <w:pPr>
        <w:ind w:left="72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6">
      <w:pPr>
        <w:numPr>
          <w:ilvl w:val="0"/>
          <w:numId w:val="2"/>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Estructurar</w:t>
      </w:r>
      <w:r w:rsidDel="00000000" w:rsidR="00000000" w:rsidRPr="00000000">
        <w:rPr>
          <w:rFonts w:ascii="Times New Roman" w:cs="Times New Roman" w:eastAsia="Times New Roman" w:hAnsi="Times New Roman"/>
          <w:sz w:val="20"/>
          <w:szCs w:val="20"/>
          <w:rtl w:val="0"/>
        </w:rPr>
        <w:t xml:space="preserve"> un esquema de datos flexible que consolide en una única colección un catálogo de productos heterogéneo (alimentos, ropa, tecnología, artesanías y servicios) sin incurrir en redundancias ni campos nulos.</w:t>
      </w:r>
    </w:p>
    <w:p w:rsidR="00000000" w:rsidDel="00000000" w:rsidP="00000000" w:rsidRDefault="00000000" w:rsidRPr="00000000" w14:paraId="00000027">
      <w:pPr>
        <w:ind w:left="72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8">
      <w:pPr>
        <w:numPr>
          <w:ilvl w:val="0"/>
          <w:numId w:val="2"/>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Desarrollar</w:t>
      </w:r>
      <w:r w:rsidDel="00000000" w:rsidR="00000000" w:rsidRPr="00000000">
        <w:rPr>
          <w:rFonts w:ascii="Times New Roman" w:cs="Times New Roman" w:eastAsia="Times New Roman" w:hAnsi="Times New Roman"/>
          <w:sz w:val="20"/>
          <w:szCs w:val="20"/>
          <w:rtl w:val="0"/>
        </w:rPr>
        <w:t xml:space="preserve"> un patrón de documentos para la colección de pedidos que encapsule las líneas de detalle de las compras, resguardando la integridad histórica de los precios y cantidades facturadas.</w:t>
      </w:r>
    </w:p>
    <w:p w:rsidR="00000000" w:rsidDel="00000000" w:rsidP="00000000" w:rsidRDefault="00000000" w:rsidRPr="00000000" w14:paraId="0000002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2A">
      <w:pP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presente proyecto comprende el diseño conceptual, lógico y físico del modelo de datos de MercadoTico 360, abarcando de forma exclusiva tres colecciones nucleares: Productos, Clientes (con segmentación geográfica costarricense por provincia, cantón y distrito) y Pedidos (historial transaccional).</w:t>
      </w:r>
    </w:p>
    <w:p w:rsidR="00000000" w:rsidDel="00000000" w:rsidP="00000000" w:rsidRDefault="00000000" w:rsidRPr="00000000" w14:paraId="0000002B">
      <w:pPr>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alcance técnico se limita al modelado de datos dentro del ecosistema de MongoDB Atlas y la definición de estrategias de agregación analítica de ventas. Queda fuera del alcance de esta investigación el desarrollo de las interfaces de usuario, la lógica de negocio de la aplicación externa a la base de datos, y los sistemas de pasarelas de pago o logística de distribución física.</w:t>
      </w:r>
    </w:p>
    <w:p w:rsidR="00000000" w:rsidDel="00000000" w:rsidP="00000000" w:rsidRDefault="00000000" w:rsidRPr="00000000" w14:paraId="0000002C">
      <w:pPr>
        <w:spacing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D">
      <w:pPr>
        <w:spacing w:line="24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E">
      <w:pPr>
        <w:spacing w:line="240" w:lineRule="auto"/>
        <w:ind w:firstLine="72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F">
      <w:pPr>
        <w:spacing w:line="240" w:lineRule="auto"/>
        <w:ind w:firstLine="72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II. FUNDAMENTOS TEÓRICOS</w:t>
      </w:r>
    </w:p>
    <w:p w:rsidR="00000000" w:rsidDel="00000000" w:rsidP="00000000" w:rsidRDefault="00000000" w:rsidRPr="00000000" w14:paraId="00000030">
      <w:pPr>
        <w:spacing w:line="240" w:lineRule="auto"/>
        <w:ind w:left="0" w:firstLine="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31">
      <w:pPr>
        <w:spacing w:line="240" w:lineRule="auto"/>
        <w:ind w:left="0" w:firstLine="0"/>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A. Fundamentos del modelo NoSQL</w:t>
      </w:r>
    </w:p>
    <w:p w:rsidR="00000000" w:rsidDel="00000000" w:rsidP="00000000" w:rsidRDefault="00000000" w:rsidRPr="00000000" w14:paraId="00000032">
      <w:pPr>
        <w:spacing w:line="240" w:lineRule="auto"/>
        <w:ind w:left="0" w:firstLine="0"/>
        <w:jc w:val="both"/>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33">
      <w:pPr>
        <w:spacing w:line="240" w:lineRule="auto"/>
        <w:ind w:left="0" w:firstLine="566.929133858267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Las bases de datos NoSQL nacen como una alternativa para almacenar y consultar datos sin tener que amarrarse a la estructura encasillada de tablas y columnas que usan las bases de datos relacionales tradicionales. En lugar de eso, modelos como el orientado a documentos permiten guardar la información en formatos tipo JSON o BSON. Esta arquitectura facilita escalar rápidamente cuando se manejan grandes volúmenes de datos que no están del todo estructurados.</w:t>
      </w:r>
    </w:p>
    <w:p w:rsidR="00000000" w:rsidDel="00000000" w:rsidP="00000000" w:rsidRDefault="00000000" w:rsidRPr="00000000" w14:paraId="00000034">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5">
      <w:pPr>
        <w:spacing w:line="240" w:lineRule="auto"/>
        <w:ind w:left="0" w:firstLine="566.929133858267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Además, al distribuir la información entre varios servidores (tanto locales como en la nube), el sistema gana mucha tolerancia a fallos. Si algún servidor o nodo llega a fallar o desconectarse, la base de datos puede seguir funcionando sin interrumpir el servicio. En resumen, adoptar un modelo NoSQL le permite a las empresas actuales procesar muchísimos datos a alta velocidad y adaptarse fácil al crecimiento de sus aplicaciones (IBM, 2024).</w:t>
      </w:r>
    </w:p>
    <w:p w:rsidR="00000000" w:rsidDel="00000000" w:rsidP="00000000" w:rsidRDefault="00000000" w:rsidRPr="00000000" w14:paraId="00000036">
      <w:pPr>
        <w:spacing w:line="240" w:lineRule="auto"/>
        <w:ind w:left="0" w:firstLine="566.9291338582677"/>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7">
      <w:pPr>
        <w:spacing w:line="240" w:lineRule="auto"/>
        <w:ind w:left="0" w:firstLine="566.929133858267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Por su parte, El Alami et al. (2024), señalan que la base de datos orientada a documentos es una representación del concepto clave-valor, pero organizada en documentos con campos que se pueden indexar para estructurar la información de forma jerárquica. Está diseñada para guardar sesiones generales, archivos, perfiles de usuario o páginas web.</w:t>
      </w:r>
    </w:p>
    <w:p w:rsidR="00000000" w:rsidDel="00000000" w:rsidP="00000000" w:rsidRDefault="00000000" w:rsidRPr="00000000" w14:paraId="00000038">
      <w:pPr>
        <w:spacing w:line="24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9">
      <w:pPr>
        <w:spacing w:line="240" w:lineRule="auto"/>
        <w:ind w:left="0" w:firstLine="0"/>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B. Tecnología seleccionada: MongoDB</w:t>
      </w:r>
    </w:p>
    <w:p w:rsidR="00000000" w:rsidDel="00000000" w:rsidP="00000000" w:rsidRDefault="00000000" w:rsidRPr="00000000" w14:paraId="0000003A">
      <w:pPr>
        <w:spacing w:line="24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B">
      <w:pPr>
        <w:spacing w:line="240" w:lineRule="auto"/>
        <w:ind w:left="0" w:firstLine="566.929133858267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Para atender los requerimientos operacionales y analíticos del caso de negocio MercadoTico 360, se seleccionó el sistema de gestión de bases de datos orientado a documentos MongoDB. La elección de esta tecnología se fundamenta en las siguientes características clave de su modelo de datos:</w:t>
      </w:r>
    </w:p>
    <w:p w:rsidR="00000000" w:rsidDel="00000000" w:rsidP="00000000" w:rsidRDefault="00000000" w:rsidRPr="00000000" w14:paraId="0000003C">
      <w:pPr>
        <w:spacing w:line="240" w:lineRule="auto"/>
        <w:ind w:left="0" w:firstLine="566.9291338582677"/>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D">
      <w:pPr>
        <w:numPr>
          <w:ilvl w:val="0"/>
          <w:numId w:val="1"/>
        </w:num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Esquema flexible para un catálogo heterogéneo: </w:t>
      </w:r>
      <w:r w:rsidDel="00000000" w:rsidR="00000000" w:rsidRPr="00000000">
        <w:rPr>
          <w:rFonts w:ascii="Times New Roman" w:cs="Times New Roman" w:eastAsia="Times New Roman" w:hAnsi="Times New Roman"/>
          <w:sz w:val="20"/>
          <w:szCs w:val="20"/>
          <w:rtl w:val="0"/>
        </w:rPr>
        <w:t xml:space="preserve">Permite almacenar productos de diversas categorías (ropa, alimentos, tecnología) dentro de una misma colección, gestionando atributos dinámicos sin requerir campos nulos ni alterar la estructura global de la base de datos.</w:t>
      </w:r>
    </w:p>
    <w:p w:rsidR="00000000" w:rsidDel="00000000" w:rsidP="00000000" w:rsidRDefault="00000000" w:rsidRPr="00000000" w14:paraId="0000003E">
      <w:pPr>
        <w:spacing w:line="240" w:lineRule="auto"/>
        <w:ind w:left="72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F">
      <w:pPr>
        <w:numPr>
          <w:ilvl w:val="0"/>
          <w:numId w:val="1"/>
        </w:num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Documentos embebidos para los pedidos: </w:t>
      </w:r>
      <w:r w:rsidDel="00000000" w:rsidR="00000000" w:rsidRPr="00000000">
        <w:rPr>
          <w:rFonts w:ascii="Times New Roman" w:cs="Times New Roman" w:eastAsia="Times New Roman" w:hAnsi="Times New Roman"/>
          <w:sz w:val="20"/>
          <w:szCs w:val="20"/>
          <w:rtl w:val="0"/>
        </w:rPr>
        <w:t xml:space="preserve">Permite anidar arreglos como las líneas de detalle dentro de los documentos de pedidos. Esto asegura la inmutabilidad e integridad del historial de compras frente a cambios futuros en el catálogo, además de optimizar las lecturas al evitar la ejecución de operaciones de unión (JOINs) costosas en tiempo de ejecución.</w:t>
      </w:r>
    </w:p>
    <w:p w:rsidR="00000000" w:rsidDel="00000000" w:rsidP="00000000" w:rsidRDefault="00000000" w:rsidRPr="00000000" w14:paraId="00000040">
      <w:pPr>
        <w:spacing w:line="240" w:lineRule="auto"/>
        <w:ind w:left="72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1">
      <w:pPr>
        <w:numPr>
          <w:ilvl w:val="0"/>
          <w:numId w:val="1"/>
        </w:numPr>
        <w:spacing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b w:val="1"/>
          <w:bCs w:val="1"/>
          <w:sz w:val="20"/>
          <w:szCs w:val="20"/>
          <w:rtl w:val="0"/>
        </w:rPr>
        <w:t xml:space="preserve">Escalabilidad y evolución sin interrupciones: </w:t>
      </w:r>
      <w:r w:rsidDel="00000000" w:rsidR="00000000" w:rsidRPr="00000000">
        <w:rPr>
          <w:rFonts w:ascii="Times New Roman" w:cs="Times New Roman" w:eastAsia="Times New Roman" w:hAnsi="Times New Roman"/>
          <w:sz w:val="20"/>
          <w:szCs w:val="20"/>
          <w:rtl w:val="0"/>
        </w:rPr>
        <w:t xml:space="preserve">Facilita la incorporación de nuevos atributos en tiempo real a medida que la plataforma expande sus líneas de negocio.</w:t>
      </w:r>
    </w:p>
    <w:p w:rsidR="00000000" w:rsidDel="00000000" w:rsidP="00000000" w:rsidRDefault="00000000" w:rsidRPr="00000000" w14:paraId="00000042">
      <w:pPr>
        <w:spacing w:line="240" w:lineRule="auto"/>
        <w:ind w:left="72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3">
      <w:pPr>
        <w:numPr>
          <w:ilvl w:val="0"/>
          <w:numId w:val="1"/>
        </w:numPr>
        <w:spacing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b w:val="1"/>
          <w:bCs w:val="1"/>
          <w:sz w:val="20"/>
          <w:szCs w:val="20"/>
          <w:rtl w:val="0"/>
        </w:rPr>
        <w:t xml:space="preserve">Capacidad de análisis avanzado: </w:t>
      </w:r>
      <w:r w:rsidDel="00000000" w:rsidR="00000000" w:rsidRPr="00000000">
        <w:rPr>
          <w:rFonts w:ascii="Times New Roman" w:cs="Times New Roman" w:eastAsia="Times New Roman" w:hAnsi="Times New Roman"/>
          <w:sz w:val="20"/>
          <w:szCs w:val="20"/>
          <w:rtl w:val="0"/>
        </w:rPr>
        <w:t xml:space="preserve">MongoDB incorpora un potente motor de agregaciones, ideal para transformar datos operacionales en métricas analíticas sobre el rendimiento de las ventas y clientes.</w:t>
      </w:r>
    </w:p>
    <w:p w:rsidR="00000000" w:rsidDel="00000000" w:rsidP="00000000" w:rsidRDefault="00000000" w:rsidRPr="00000000" w14:paraId="00000044">
      <w:pPr>
        <w:spacing w:line="240" w:lineRule="auto"/>
        <w:ind w:left="72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5">
      <w:pPr>
        <w:spacing w:line="240" w:lineRule="auto"/>
        <w:ind w:left="0" w:firstLine="566.929133858267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elección de estas estrategias de modelado (esquemas flexibles y documentos embebidos) se alinean directamente con las mejores prácticas recomendadas en la documentación oficial de MongoDB para el diseño de bases de datos orientadas a documentos (MongoDB, s.f.).</w:t>
      </w:r>
    </w:p>
    <w:p w:rsidR="00000000" w:rsidDel="00000000" w:rsidP="00000000" w:rsidRDefault="00000000" w:rsidRPr="00000000" w14:paraId="00000046">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7">
      <w:pPr>
        <w:spacing w:line="24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8">
      <w:pPr>
        <w:spacing w:line="240" w:lineRule="auto"/>
        <w:ind w:lef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III. DISEÑO Y METODOLOGÍA</w:t>
      </w:r>
    </w:p>
    <w:p w:rsidR="00000000" w:rsidDel="00000000" w:rsidP="00000000" w:rsidRDefault="00000000" w:rsidRPr="00000000" w14:paraId="00000049">
      <w:pPr>
        <w:spacing w:line="24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A">
      <w:pPr>
        <w:spacing w:line="240" w:lineRule="auto"/>
        <w:ind w:left="0" w:firstLine="0"/>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A.Modelo de datos y arquitectura</w:t>
      </w:r>
    </w:p>
    <w:p w:rsidR="00000000" w:rsidDel="00000000" w:rsidP="00000000" w:rsidRDefault="00000000" w:rsidRPr="00000000" w14:paraId="0000004B">
      <w:pPr>
        <w:spacing w:line="24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C">
      <w:pPr>
        <w:spacing w:line="240" w:lineRule="auto"/>
        <w:ind w:left="0" w:firstLine="566.929133858267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arquitectura del sistema adopta un enfoque orientado a la nube centrado en MongoDB Atlas como motor de almacenamiento, lo que permite gestionar la escalabilidad horizontal mediante un clúster distribuido. Esta infraestructura separa la capa de almacenamiento de los clientes o servicios de consulta, garantizando alta disponibilidad así como alta tolerancia a fallos.</w:t>
      </w:r>
    </w:p>
    <w:p w:rsidR="00000000" w:rsidDel="00000000" w:rsidP="00000000" w:rsidRDefault="00000000" w:rsidRPr="00000000" w14:paraId="0000004D">
      <w:pPr>
        <w:spacing w:line="240" w:lineRule="auto"/>
        <w:ind w:left="0" w:firstLine="566.9291338582677"/>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E">
      <w:pPr>
        <w:spacing w:line="240" w:lineRule="auto"/>
        <w:ind w:left="0" w:firstLine="566.9291338582677"/>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diseño del esquema de datos se compone de tres colecciones principales estratégicamente estructuradas para optimizar el rendimiento y la consistencia:</w:t>
      </w:r>
    </w:p>
    <w:p w:rsidR="00000000" w:rsidDel="00000000" w:rsidP="00000000" w:rsidRDefault="00000000" w:rsidRPr="00000000" w14:paraId="0000004F">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0">
      <w:pPr>
        <w:numPr>
          <w:ilvl w:val="0"/>
          <w:numId w:val="4"/>
        </w:num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Colección de productos (Catálogo heterogéneo):</w:t>
      </w:r>
      <w:r w:rsidDel="00000000" w:rsidR="00000000" w:rsidRPr="00000000">
        <w:rPr>
          <w:rFonts w:ascii="Times New Roman" w:cs="Times New Roman" w:eastAsia="Times New Roman" w:hAnsi="Times New Roman"/>
          <w:sz w:val="20"/>
          <w:szCs w:val="20"/>
          <w:rtl w:val="0"/>
        </w:rPr>
        <w:t xml:space="preserve"> Utiliza un patrón de esquema flexible que permite almacenar ítems de categorías variadas (alimentos, ropa, tecnología, artesanías y servicios) en una misma colección, incluyendo atributos personalizados según el tipo de producto dentro de un subdocumento embebido (atributos), evitando campos vacíos o nulos.</w:t>
      </w:r>
    </w:p>
    <w:p w:rsidR="00000000" w:rsidDel="00000000" w:rsidP="00000000" w:rsidRDefault="00000000" w:rsidRPr="00000000" w14:paraId="00000051">
      <w:pPr>
        <w:spacing w:line="240" w:lineRule="auto"/>
        <w:ind w:left="72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2">
      <w:pPr>
        <w:numPr>
          <w:ilvl w:val="0"/>
          <w:numId w:val="4"/>
        </w:num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Colección de clientes:</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53">
      <w:pPr>
        <w:spacing w:line="240"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Corresponde a los datos de los usuarios de la plataforma. Se gestiona mediante documentos independientes referenciados desde otras colecciones a través de una clave única (cliente_id). Incluye información de contacto y una estructura embebida para la dirección física (provincia, cantón, distrito).</w:t>
      </w:r>
    </w:p>
    <w:p w:rsidR="00000000" w:rsidDel="00000000" w:rsidP="00000000" w:rsidRDefault="00000000" w:rsidRPr="00000000" w14:paraId="00000054">
      <w:pPr>
        <w:spacing w:line="240" w:lineRule="auto"/>
        <w:ind w:left="72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5">
      <w:pPr>
        <w:numPr>
          <w:ilvl w:val="0"/>
          <w:numId w:val="4"/>
        </w:num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Colección de pedidos (Historial transaccional): </w:t>
      </w:r>
      <w:r w:rsidDel="00000000" w:rsidR="00000000" w:rsidRPr="00000000">
        <w:rPr>
          <w:rFonts w:ascii="Times New Roman" w:cs="Times New Roman" w:eastAsia="Times New Roman" w:hAnsi="Times New Roman"/>
          <w:sz w:val="20"/>
          <w:szCs w:val="20"/>
          <w:rtl w:val="0"/>
        </w:rPr>
        <w:t xml:space="preserve">Implemente el patrón de documentos embebidos, en lugar de normalizar los detalles de la compra en tablas hijas, cada documento de pedido contiene un arreglo (líneas_detalle) con la lista de productos adquiridos, sus cantidades y precios al momento de la transacción. Este diseño asegura la inmutabilidad histórica del pedido y elimina la necesidad de realizar operaciones JOIN complejas cuando se realiza la lectura del código.</w:t>
      </w:r>
    </w:p>
    <w:p w:rsidR="00000000" w:rsidDel="00000000" w:rsidP="00000000" w:rsidRDefault="00000000" w:rsidRPr="00000000" w14:paraId="00000056">
      <w:pPr>
        <w:spacing w:line="24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7">
      <w:pPr>
        <w:spacing w:line="24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8">
      <w:pPr>
        <w:spacing w:line="240" w:lineRule="auto"/>
        <w:ind w:left="0" w:firstLine="0"/>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B.Implementación</w:t>
      </w:r>
    </w:p>
    <w:p w:rsidR="00000000" w:rsidDel="00000000" w:rsidP="00000000" w:rsidRDefault="00000000" w:rsidRPr="00000000" w14:paraId="00000059">
      <w:pPr>
        <w:spacing w:line="24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A">
      <w:pPr>
        <w:spacing w:line="24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B">
      <w:pPr>
        <w:spacing w:line="24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C">
      <w:pPr>
        <w:spacing w:line="24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D">
      <w:pPr>
        <w:spacing w:line="240" w:lineRule="auto"/>
        <w:ind w:lef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IV. PRUEBAS Y RESULTADOS</w:t>
      </w:r>
    </w:p>
    <w:p w:rsidR="00000000" w:rsidDel="00000000" w:rsidP="00000000" w:rsidRDefault="00000000" w:rsidRPr="00000000" w14:paraId="0000005E">
      <w:pPr>
        <w:spacing w:line="24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F">
      <w:pPr>
        <w:spacing w:line="240" w:lineRule="auto"/>
        <w:ind w:left="0" w:firstLine="0"/>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A.Entorno de pruebas</w:t>
      </w:r>
    </w:p>
    <w:p w:rsidR="00000000" w:rsidDel="00000000" w:rsidP="00000000" w:rsidRDefault="00000000" w:rsidRPr="00000000" w14:paraId="00000060">
      <w:pPr>
        <w:spacing w:line="24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1">
      <w:pPr>
        <w:spacing w:line="240" w:lineRule="auto"/>
        <w:ind w:left="0" w:firstLine="0"/>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B.Resultados </w:t>
      </w:r>
    </w:p>
    <w:p w:rsidR="00000000" w:rsidDel="00000000" w:rsidP="00000000" w:rsidRDefault="00000000" w:rsidRPr="00000000" w14:paraId="00000062">
      <w:pPr>
        <w:spacing w:line="24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3">
      <w:pPr>
        <w:spacing w:line="24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4">
      <w:pPr>
        <w:spacing w:line="24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5">
      <w:pPr>
        <w:spacing w:line="240" w:lineRule="auto"/>
        <w:ind w:lef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 DISCUSIÓN Y LIMITACIONES</w:t>
      </w:r>
    </w:p>
    <w:p w:rsidR="00000000" w:rsidDel="00000000" w:rsidP="00000000" w:rsidRDefault="00000000" w:rsidRPr="00000000" w14:paraId="00000066">
      <w:pPr>
        <w:spacing w:line="24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7">
      <w:pPr>
        <w:spacing w:line="240" w:lineRule="auto"/>
        <w:ind w:left="0" w:firstLine="0"/>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A.Limitaciones del trabajo</w:t>
      </w:r>
    </w:p>
    <w:p w:rsidR="00000000" w:rsidDel="00000000" w:rsidP="00000000" w:rsidRDefault="00000000" w:rsidRPr="00000000" w14:paraId="00000068">
      <w:pPr>
        <w:spacing w:line="24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9">
      <w:pPr>
        <w:spacing w:line="24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A">
      <w:pPr>
        <w:spacing w:line="24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B">
      <w:pPr>
        <w:spacing w:line="24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C">
      <w:pPr>
        <w:spacing w:line="240" w:lineRule="auto"/>
        <w:ind w:lef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VI. CONCLUSIONES</w:t>
      </w:r>
    </w:p>
    <w:p w:rsidR="00000000" w:rsidDel="00000000" w:rsidP="00000000" w:rsidRDefault="00000000" w:rsidRPr="00000000" w14:paraId="0000006D">
      <w:pPr>
        <w:spacing w:line="240" w:lineRule="auto"/>
        <w:ind w:left="0" w:firstLine="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6E">
      <w:pPr>
        <w:spacing w:line="240" w:lineRule="auto"/>
        <w:ind w:left="0" w:firstLine="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6F">
      <w:pPr>
        <w:spacing w:line="240" w:lineRule="auto"/>
        <w:ind w:left="0" w:firstLine="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70">
      <w:pPr>
        <w:spacing w:line="240" w:lineRule="auto"/>
        <w:ind w:left="0" w:firstLine="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71">
      <w:pPr>
        <w:spacing w:line="240" w:lineRule="auto"/>
        <w:ind w:left="0" w:firstLine="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72">
      <w:pPr>
        <w:spacing w:lin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Disponibilidad del código</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El código, scripts de implementación y datasets utilizados en este trabajo están disponibles públicamente en:</w:t>
      </w:r>
    </w:p>
    <w:p w:rsidR="00000000" w:rsidDel="00000000" w:rsidP="00000000" w:rsidRDefault="00000000" w:rsidRPr="00000000" w14:paraId="00000073">
      <w:pPr>
        <w:spacing w:line="24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4">
      <w:pPr>
        <w:spacing w:line="24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5">
      <w:pPr>
        <w:spacing w:line="24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6">
      <w:pPr>
        <w:spacing w:line="240" w:lineRule="auto"/>
        <w:ind w:lef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ANEXOS </w:t>
      </w:r>
    </w:p>
    <w:p w:rsidR="00000000" w:rsidDel="00000000" w:rsidP="00000000" w:rsidRDefault="00000000" w:rsidRPr="00000000" w14:paraId="00000077">
      <w:pPr>
        <w:spacing w:line="240" w:lineRule="auto"/>
        <w:ind w:left="0" w:firstLine="0"/>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78">
      <w:pPr>
        <w:spacing w:line="240" w:lineRule="auto"/>
        <w:ind w:left="0" w:firstLine="0"/>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79">
      <w:pPr>
        <w:spacing w:line="240" w:lineRule="auto"/>
        <w:ind w:left="0" w:firstLine="0"/>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7A">
      <w:pPr>
        <w:spacing w:line="240" w:lineRule="auto"/>
        <w:ind w:left="0" w:firstLine="0"/>
        <w:jc w:val="center"/>
        <w:rPr>
          <w:rFonts w:ascii="Times New Roman" w:cs="Times New Roman" w:eastAsia="Times New Roman" w:hAnsi="Times New Roman"/>
          <w:b w:val="1"/>
          <w:bCs w:val="1"/>
          <w:sz w:val="20"/>
          <w:szCs w:val="20"/>
        </w:rPr>
      </w:pPr>
      <w:commentRangeStart w:id="0"/>
      <w:r w:rsidDel="00000000" w:rsidR="00000000" w:rsidRPr="00000000">
        <w:rPr>
          <w:rFonts w:ascii="Times New Roman" w:cs="Times New Roman" w:eastAsia="Times New Roman" w:hAnsi="Times New Roman"/>
          <w:b w:val="1"/>
          <w:bCs w:val="1"/>
          <w:sz w:val="20"/>
          <w:szCs w:val="20"/>
          <w:rtl w:val="0"/>
        </w:rPr>
        <w:t xml:space="preserve">REFERENCIAS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7B">
      <w:pPr>
        <w:spacing w:line="240" w:lineRule="auto"/>
        <w:ind w:left="0" w:firstLine="0"/>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7C">
      <w:pPr>
        <w:ind w:left="1120" w:hanging="560"/>
        <w:jc w:val="both"/>
        <w:rPr>
          <w:rFonts w:ascii="Times New Roman" w:cs="Times New Roman" w:eastAsia="Times New Roman" w:hAnsi="Times New Roman"/>
          <w:color w:val="1155cc"/>
          <w:sz w:val="20"/>
          <w:szCs w:val="20"/>
          <w:u w:val="single"/>
        </w:rPr>
      </w:pPr>
      <w:r w:rsidDel="00000000" w:rsidR="00000000" w:rsidRPr="00000000">
        <w:rPr>
          <w:rFonts w:ascii="Times New Roman" w:cs="Times New Roman" w:eastAsia="Times New Roman" w:hAnsi="Times New Roman"/>
          <w:sz w:val="20"/>
          <w:szCs w:val="20"/>
          <w:rtl w:val="0"/>
        </w:rPr>
        <w:t xml:space="preserve">El Alami, A., Khourdifi, Y., Ait El Mouden, Z., Lahmer, M., &amp; Hasnaoui, M. L. (2024). Migrating relational databases to NoSQL-oriented documents using object-oriented concepts. </w:t>
      </w:r>
      <w:r w:rsidDel="00000000" w:rsidR="00000000" w:rsidRPr="00000000">
        <w:rPr>
          <w:rFonts w:ascii="Times New Roman" w:cs="Times New Roman" w:eastAsia="Times New Roman" w:hAnsi="Times New Roman"/>
          <w:i w:val="1"/>
          <w:iCs w:val="1"/>
          <w:sz w:val="20"/>
          <w:szCs w:val="20"/>
          <w:rtl w:val="0"/>
        </w:rPr>
        <w:t xml:space="preserve">International Journal of Intelligent Engineering and Systems,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17</w:t>
      </w:r>
      <w:r w:rsidDel="00000000" w:rsidR="00000000" w:rsidRPr="00000000">
        <w:rPr>
          <w:rFonts w:ascii="Times New Roman" w:cs="Times New Roman" w:eastAsia="Times New Roman" w:hAnsi="Times New Roman"/>
          <w:sz w:val="20"/>
          <w:szCs w:val="20"/>
          <w:rtl w:val="0"/>
        </w:rPr>
        <w:t xml:space="preserve">(4).</w:t>
      </w:r>
      <w:hyperlink r:id="rId11">
        <w:r w:rsidDel="00000000" w:rsidR="00000000" w:rsidRPr="00000000">
          <w:rPr>
            <w:rFonts w:ascii="Times New Roman" w:cs="Times New Roman" w:eastAsia="Times New Roman" w:hAnsi="Times New Roman"/>
            <w:sz w:val="20"/>
            <w:szCs w:val="20"/>
            <w:rtl w:val="0"/>
          </w:rPr>
          <w:t xml:space="preserve"> </w:t>
        </w:r>
      </w:hyperlink>
      <w:hyperlink r:id="rId12">
        <w:r w:rsidDel="00000000" w:rsidR="00000000" w:rsidRPr="00000000">
          <w:rPr>
            <w:rFonts w:ascii="Times New Roman" w:cs="Times New Roman" w:eastAsia="Times New Roman" w:hAnsi="Times New Roman"/>
            <w:color w:val="1155cc"/>
            <w:sz w:val="20"/>
            <w:szCs w:val="20"/>
            <w:u w:val="single"/>
            <w:rtl w:val="0"/>
          </w:rPr>
          <w:t xml:space="preserve">https://doi.org/10.22266/ijies2024.0831.48</w:t>
        </w:r>
      </w:hyperlink>
      <w:r w:rsidDel="00000000" w:rsidR="00000000" w:rsidRPr="00000000">
        <w:rPr>
          <w:rtl w:val="0"/>
        </w:rPr>
      </w:r>
    </w:p>
    <w:p w:rsidR="00000000" w:rsidDel="00000000" w:rsidP="00000000" w:rsidRDefault="00000000" w:rsidRPr="00000000" w14:paraId="0000007D">
      <w:pPr>
        <w:ind w:left="1120" w:hanging="560"/>
        <w:jc w:val="both"/>
        <w:rPr>
          <w:rFonts w:ascii="Times New Roman" w:cs="Times New Roman" w:eastAsia="Times New Roman" w:hAnsi="Times New Roman"/>
          <w:color w:val="1155cc"/>
          <w:sz w:val="20"/>
          <w:szCs w:val="20"/>
          <w:u w:val="single"/>
        </w:rPr>
      </w:pPr>
      <w:r w:rsidDel="00000000" w:rsidR="00000000" w:rsidRPr="00000000">
        <w:rPr>
          <w:rFonts w:ascii="Times New Roman" w:cs="Times New Roman" w:eastAsia="Times New Roman" w:hAnsi="Times New Roman"/>
          <w:sz w:val="20"/>
          <w:szCs w:val="20"/>
          <w:rtl w:val="0"/>
        </w:rPr>
        <w:t xml:space="preserve">Grolinger, K., Higashino, W. A., Tiwari, A., &amp; Capretz, M. A. (2013). Data management in cloud environments: NoSQL and NewSQL data stores. </w:t>
      </w:r>
      <w:r w:rsidDel="00000000" w:rsidR="00000000" w:rsidRPr="00000000">
        <w:rPr>
          <w:rFonts w:ascii="Times New Roman" w:cs="Times New Roman" w:eastAsia="Times New Roman" w:hAnsi="Times New Roman"/>
          <w:i w:val="1"/>
          <w:iCs w:val="1"/>
          <w:sz w:val="20"/>
          <w:szCs w:val="20"/>
          <w:rtl w:val="0"/>
        </w:rPr>
        <w:t xml:space="preserve">Journal Of Cloud Computing Advances Systems And Applications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2</w:t>
      </w:r>
      <w:r w:rsidDel="00000000" w:rsidR="00000000" w:rsidRPr="00000000">
        <w:rPr>
          <w:rFonts w:ascii="Times New Roman" w:cs="Times New Roman" w:eastAsia="Times New Roman" w:hAnsi="Times New Roman"/>
          <w:sz w:val="20"/>
          <w:szCs w:val="20"/>
          <w:rtl w:val="0"/>
        </w:rPr>
        <w:t xml:space="preserve">(1).</w:t>
      </w:r>
      <w:hyperlink r:id="rId13">
        <w:r w:rsidDel="00000000" w:rsidR="00000000" w:rsidRPr="00000000">
          <w:rPr>
            <w:rFonts w:ascii="Times New Roman" w:cs="Times New Roman" w:eastAsia="Times New Roman" w:hAnsi="Times New Roman"/>
            <w:sz w:val="20"/>
            <w:szCs w:val="20"/>
            <w:rtl w:val="0"/>
          </w:rPr>
          <w:t xml:space="preserve"> </w:t>
        </w:r>
      </w:hyperlink>
      <w:hyperlink r:id="rId14">
        <w:r w:rsidDel="00000000" w:rsidR="00000000" w:rsidRPr="00000000">
          <w:rPr>
            <w:rFonts w:ascii="Times New Roman" w:cs="Times New Roman" w:eastAsia="Times New Roman" w:hAnsi="Times New Roman"/>
            <w:color w:val="1155cc"/>
            <w:sz w:val="20"/>
            <w:szCs w:val="20"/>
            <w:u w:val="single"/>
            <w:rtl w:val="0"/>
          </w:rPr>
          <w:t xml:space="preserve">https://doi.org/10.1186/2192-113x-2-22</w:t>
        </w:r>
      </w:hyperlink>
      <w:r w:rsidDel="00000000" w:rsidR="00000000" w:rsidRPr="00000000">
        <w:rPr>
          <w:rtl w:val="0"/>
        </w:rPr>
      </w:r>
    </w:p>
    <w:p w:rsidR="00000000" w:rsidDel="00000000" w:rsidP="00000000" w:rsidRDefault="00000000" w:rsidRPr="00000000" w14:paraId="0000007E">
      <w:pPr>
        <w:ind w:left="1120" w:hanging="560"/>
        <w:jc w:val="both"/>
        <w:rPr>
          <w:rFonts w:ascii="Times New Roman" w:cs="Times New Roman" w:eastAsia="Times New Roman" w:hAnsi="Times New Roman"/>
          <w:color w:val="1155cc"/>
          <w:sz w:val="20"/>
          <w:szCs w:val="20"/>
          <w:u w:val="single"/>
        </w:rPr>
      </w:pPr>
      <w:r w:rsidDel="00000000" w:rsidR="00000000" w:rsidRPr="00000000">
        <w:rPr>
          <w:rFonts w:ascii="Times New Roman" w:cs="Times New Roman" w:eastAsia="Times New Roman" w:hAnsi="Times New Roman"/>
          <w:sz w:val="20"/>
          <w:szCs w:val="20"/>
          <w:rtl w:val="0"/>
        </w:rPr>
        <w:t xml:space="preserve">Gupta, N., &amp; Agrawal, R. (2018). NoSQL Security. En </w:t>
      </w:r>
      <w:r w:rsidDel="00000000" w:rsidR="00000000" w:rsidRPr="00000000">
        <w:rPr>
          <w:rFonts w:ascii="Times New Roman" w:cs="Times New Roman" w:eastAsia="Times New Roman" w:hAnsi="Times New Roman"/>
          <w:i w:val="1"/>
          <w:iCs w:val="1"/>
          <w:sz w:val="20"/>
          <w:szCs w:val="20"/>
          <w:rtl w:val="0"/>
        </w:rPr>
        <w:t xml:space="preserve">Advances in computers</w:t>
      </w:r>
      <w:r w:rsidDel="00000000" w:rsidR="00000000" w:rsidRPr="00000000">
        <w:rPr>
          <w:rFonts w:ascii="Times New Roman" w:cs="Times New Roman" w:eastAsia="Times New Roman" w:hAnsi="Times New Roman"/>
          <w:sz w:val="20"/>
          <w:szCs w:val="20"/>
          <w:rtl w:val="0"/>
        </w:rPr>
        <w:t xml:space="preserve"> (pp. 101-132).</w:t>
      </w:r>
      <w:hyperlink r:id="rId15">
        <w:r w:rsidDel="00000000" w:rsidR="00000000" w:rsidRPr="00000000">
          <w:rPr>
            <w:rFonts w:ascii="Times New Roman" w:cs="Times New Roman" w:eastAsia="Times New Roman" w:hAnsi="Times New Roman"/>
            <w:sz w:val="20"/>
            <w:szCs w:val="20"/>
            <w:rtl w:val="0"/>
          </w:rPr>
          <w:t xml:space="preserve"> </w:t>
        </w:r>
      </w:hyperlink>
      <w:hyperlink r:id="rId16">
        <w:r w:rsidDel="00000000" w:rsidR="00000000" w:rsidRPr="00000000">
          <w:rPr>
            <w:rFonts w:ascii="Times New Roman" w:cs="Times New Roman" w:eastAsia="Times New Roman" w:hAnsi="Times New Roman"/>
            <w:color w:val="1155cc"/>
            <w:sz w:val="20"/>
            <w:szCs w:val="20"/>
            <w:u w:val="single"/>
            <w:rtl w:val="0"/>
          </w:rPr>
          <w:t xml:space="preserve">https://doi.org/10.1016/bs.adcom.2018.01.003</w:t>
        </w:r>
      </w:hyperlink>
      <w:r w:rsidDel="00000000" w:rsidR="00000000" w:rsidRPr="00000000">
        <w:rPr>
          <w:rtl w:val="0"/>
        </w:rPr>
      </w:r>
    </w:p>
    <w:p w:rsidR="00000000" w:rsidDel="00000000" w:rsidP="00000000" w:rsidRDefault="00000000" w:rsidRPr="00000000" w14:paraId="0000007F">
      <w:pPr>
        <w:ind w:left="1120" w:hanging="5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80">
      <w:pPr>
        <w:ind w:left="1120" w:hanging="560"/>
        <w:jc w:val="both"/>
        <w:rPr>
          <w:rFonts w:ascii="Times New Roman" w:cs="Times New Roman" w:eastAsia="Times New Roman" w:hAnsi="Times New Roman"/>
          <w:color w:val="1155cc"/>
          <w:sz w:val="20"/>
          <w:szCs w:val="20"/>
          <w:u w:val="single"/>
        </w:rPr>
      </w:pPr>
      <w:r w:rsidDel="00000000" w:rsidR="00000000" w:rsidRPr="00000000">
        <w:rPr>
          <w:rFonts w:ascii="Times New Roman" w:cs="Times New Roman" w:eastAsia="Times New Roman" w:hAnsi="Times New Roman"/>
          <w:sz w:val="20"/>
          <w:szCs w:val="20"/>
          <w:rtl w:val="0"/>
        </w:rPr>
        <w:t xml:space="preserve">IBM. (2024). </w:t>
      </w:r>
      <w:r w:rsidDel="00000000" w:rsidR="00000000" w:rsidRPr="00000000">
        <w:rPr>
          <w:rFonts w:ascii="Times New Roman" w:cs="Times New Roman" w:eastAsia="Times New Roman" w:hAnsi="Times New Roman"/>
          <w:i w:val="1"/>
          <w:iCs w:val="1"/>
          <w:sz w:val="20"/>
          <w:szCs w:val="20"/>
          <w:rtl w:val="0"/>
        </w:rPr>
        <w:t xml:space="preserve">¿Qué son las bases de datos NoSQL?</w:t>
      </w:r>
      <w:r w:rsidDel="00000000" w:rsidR="00000000" w:rsidRPr="00000000">
        <w:rPr>
          <w:rFonts w:ascii="Times New Roman" w:cs="Times New Roman" w:eastAsia="Times New Roman" w:hAnsi="Times New Roman"/>
          <w:sz w:val="20"/>
          <w:szCs w:val="20"/>
          <w:rtl w:val="0"/>
        </w:rPr>
        <w:t xml:space="preserve"> IBM Think.</w:t>
      </w:r>
      <w:hyperlink r:id="rId17">
        <w:r w:rsidDel="00000000" w:rsidR="00000000" w:rsidRPr="00000000">
          <w:rPr>
            <w:rFonts w:ascii="Times New Roman" w:cs="Times New Roman" w:eastAsia="Times New Roman" w:hAnsi="Times New Roman"/>
            <w:sz w:val="20"/>
            <w:szCs w:val="20"/>
            <w:rtl w:val="0"/>
          </w:rPr>
          <w:t xml:space="preserve"> </w:t>
        </w:r>
      </w:hyperlink>
      <w:hyperlink r:id="rId18">
        <w:r w:rsidDel="00000000" w:rsidR="00000000" w:rsidRPr="00000000">
          <w:rPr>
            <w:rFonts w:ascii="Times New Roman" w:cs="Times New Roman" w:eastAsia="Times New Roman" w:hAnsi="Times New Roman"/>
            <w:color w:val="1155cc"/>
            <w:sz w:val="20"/>
            <w:szCs w:val="20"/>
            <w:u w:val="single"/>
            <w:rtl w:val="0"/>
          </w:rPr>
          <w:t xml:space="preserve">https://www.ibm.com/mx-es/think/topics/nosql-databases</w:t>
        </w:r>
      </w:hyperlink>
      <w:r w:rsidDel="00000000" w:rsidR="00000000" w:rsidRPr="00000000">
        <w:rPr>
          <w:rtl w:val="0"/>
        </w:rPr>
      </w:r>
    </w:p>
    <w:p w:rsidR="00000000" w:rsidDel="00000000" w:rsidP="00000000" w:rsidRDefault="00000000" w:rsidRPr="00000000" w14:paraId="00000081">
      <w:pPr>
        <w:ind w:left="1120" w:hanging="5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82">
      <w:pPr>
        <w:ind w:left="1120" w:hanging="560"/>
        <w:jc w:val="both"/>
        <w:rPr>
          <w:rFonts w:ascii="Times New Roman" w:cs="Times New Roman" w:eastAsia="Times New Roman" w:hAnsi="Times New Roman"/>
          <w:color w:val="1155cc"/>
          <w:sz w:val="20"/>
          <w:szCs w:val="20"/>
          <w:u w:val="single"/>
        </w:rPr>
      </w:pPr>
      <w:r w:rsidDel="00000000" w:rsidR="00000000" w:rsidRPr="00000000">
        <w:rPr>
          <w:rFonts w:ascii="Times New Roman" w:cs="Times New Roman" w:eastAsia="Times New Roman" w:hAnsi="Times New Roman"/>
          <w:sz w:val="20"/>
          <w:szCs w:val="20"/>
          <w:rtl w:val="0"/>
        </w:rPr>
        <w:t xml:space="preserve">Maamari, S. R. S. A., &amp; Nasar, M. (2025). A Comparative Analysis of NoSQL and SQL Databases: Performance, Consistency, and Suitability for Modern Applications with a Focus on IoT. </w:t>
      </w:r>
      <w:r w:rsidDel="00000000" w:rsidR="00000000" w:rsidRPr="00000000">
        <w:rPr>
          <w:rFonts w:ascii="Times New Roman" w:cs="Times New Roman" w:eastAsia="Times New Roman" w:hAnsi="Times New Roman"/>
          <w:i w:val="1"/>
          <w:iCs w:val="1"/>
          <w:sz w:val="20"/>
          <w:szCs w:val="20"/>
          <w:rtl w:val="0"/>
        </w:rPr>
        <w:t xml:space="preserve">East Journal Of Computer Science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1</w:t>
      </w:r>
      <w:r w:rsidDel="00000000" w:rsidR="00000000" w:rsidRPr="00000000">
        <w:rPr>
          <w:rFonts w:ascii="Times New Roman" w:cs="Times New Roman" w:eastAsia="Times New Roman" w:hAnsi="Times New Roman"/>
          <w:sz w:val="20"/>
          <w:szCs w:val="20"/>
          <w:rtl w:val="0"/>
        </w:rPr>
        <w:t xml:space="preserve">(2), 10-15.</w:t>
      </w:r>
      <w:hyperlink r:id="rId19">
        <w:r w:rsidDel="00000000" w:rsidR="00000000" w:rsidRPr="00000000">
          <w:rPr>
            <w:rFonts w:ascii="Times New Roman" w:cs="Times New Roman" w:eastAsia="Times New Roman" w:hAnsi="Times New Roman"/>
            <w:sz w:val="20"/>
            <w:szCs w:val="20"/>
            <w:rtl w:val="0"/>
          </w:rPr>
          <w:t xml:space="preserve"> </w:t>
        </w:r>
      </w:hyperlink>
      <w:hyperlink r:id="rId20">
        <w:r w:rsidDel="00000000" w:rsidR="00000000" w:rsidRPr="00000000">
          <w:rPr>
            <w:rFonts w:ascii="Times New Roman" w:cs="Times New Roman" w:eastAsia="Times New Roman" w:hAnsi="Times New Roman"/>
            <w:color w:val="1155cc"/>
            <w:sz w:val="20"/>
            <w:szCs w:val="20"/>
            <w:u w:val="single"/>
            <w:rtl w:val="0"/>
          </w:rPr>
          <w:t xml:space="preserve">https://doi.org/10.63496/ejcs.vol1.iss2.76</w:t>
        </w:r>
      </w:hyperlink>
      <w:r w:rsidDel="00000000" w:rsidR="00000000" w:rsidRPr="00000000">
        <w:rPr>
          <w:rtl w:val="0"/>
        </w:rPr>
      </w:r>
    </w:p>
    <w:p w:rsidR="00000000" w:rsidDel="00000000" w:rsidP="00000000" w:rsidRDefault="00000000" w:rsidRPr="00000000" w14:paraId="0000008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84">
      <w:pPr>
        <w:ind w:left="1120" w:hanging="560"/>
        <w:jc w:val="both"/>
        <w:rPr>
          <w:rFonts w:ascii="Times New Roman" w:cs="Times New Roman" w:eastAsia="Times New Roman" w:hAnsi="Times New Roman"/>
          <w:color w:val="1155cc"/>
          <w:sz w:val="20"/>
          <w:szCs w:val="20"/>
          <w:u w:val="single"/>
        </w:rPr>
      </w:pPr>
      <w:r w:rsidDel="00000000" w:rsidR="00000000" w:rsidRPr="00000000">
        <w:rPr>
          <w:rFonts w:ascii="Times New Roman" w:cs="Times New Roman" w:eastAsia="Times New Roman" w:hAnsi="Times New Roman"/>
          <w:sz w:val="20"/>
          <w:szCs w:val="20"/>
          <w:rtl w:val="0"/>
        </w:rPr>
        <w:t xml:space="preserve">MongoDB. (s. f.). Introducción al modelado de datos. </w:t>
      </w:r>
      <w:r w:rsidDel="00000000" w:rsidR="00000000" w:rsidRPr="00000000">
        <w:rPr>
          <w:rFonts w:ascii="Times New Roman" w:cs="Times New Roman" w:eastAsia="Times New Roman" w:hAnsi="Times New Roman"/>
          <w:i w:val="1"/>
          <w:iCs w:val="1"/>
          <w:sz w:val="20"/>
          <w:szCs w:val="20"/>
          <w:rtl w:val="0"/>
        </w:rPr>
        <w:t xml:space="preserve">Documentación de MongoDB.</w:t>
      </w:r>
      <w:hyperlink r:id="rId21">
        <w:r w:rsidDel="00000000" w:rsidR="00000000" w:rsidRPr="00000000">
          <w:rPr>
            <w:rFonts w:ascii="Times New Roman" w:cs="Times New Roman" w:eastAsia="Times New Roman" w:hAnsi="Times New Roman"/>
            <w:i w:val="1"/>
            <w:iCs w:val="1"/>
            <w:sz w:val="20"/>
            <w:szCs w:val="20"/>
            <w:rtl w:val="0"/>
          </w:rPr>
          <w:t xml:space="preserve"> </w:t>
        </w:r>
      </w:hyperlink>
      <w:hyperlink r:id="rId22">
        <w:r w:rsidDel="00000000" w:rsidR="00000000" w:rsidRPr="00000000">
          <w:rPr>
            <w:rFonts w:ascii="Times New Roman" w:cs="Times New Roman" w:eastAsia="Times New Roman" w:hAnsi="Times New Roman"/>
            <w:color w:val="1155cc"/>
            <w:sz w:val="20"/>
            <w:szCs w:val="20"/>
            <w:u w:val="single"/>
            <w:rtl w:val="0"/>
          </w:rPr>
          <w:t xml:space="preserve">https://www.mongodb.com/es/docs/manual/data-modeling/</w:t>
        </w:r>
      </w:hyperlink>
      <w:r w:rsidDel="00000000" w:rsidR="00000000" w:rsidRPr="00000000">
        <w:rPr>
          <w:rtl w:val="0"/>
        </w:rPr>
      </w:r>
    </w:p>
    <w:p w:rsidR="00000000" w:rsidDel="00000000" w:rsidP="00000000" w:rsidRDefault="00000000" w:rsidRPr="00000000" w14:paraId="00000085">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p w:rsidR="00000000" w:rsidDel="00000000" w:rsidP="00000000" w:rsidRDefault="00000000" w:rsidRPr="00000000" w14:paraId="00000086">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7">
      <w:pPr>
        <w:spacing w:line="240" w:lineRule="auto"/>
        <w:ind w:left="0" w:firstLine="0"/>
        <w:jc w:val="both"/>
        <w:rPr>
          <w:rFonts w:ascii="Times New Roman" w:cs="Times New Roman" w:eastAsia="Times New Roman" w:hAnsi="Times New Roman"/>
          <w:b w:val="1"/>
          <w:bCs w:val="1"/>
          <w:sz w:val="20"/>
          <w:szCs w:val="20"/>
        </w:rPr>
      </w:pPr>
      <w:r w:rsidDel="00000000" w:rsidR="00000000" w:rsidRPr="00000000">
        <w:rPr>
          <w:rtl w:val="0"/>
        </w:rPr>
      </w:r>
    </w:p>
    <w:sectPr>
      <w:type w:val="continuous"/>
      <w:pgSz w:h="15840" w:w="12240" w:orient="portrait"/>
      <w:pgMar w:bottom="1440.0000000000002" w:top="1440.0000000000002" w:left="1440.0000000000002" w:right="1440.0000000000002" w:header="720" w:footer="720"/>
      <w:cols w:equalWidth="0" w:num="2">
        <w:col w:space="357.1653543307087" w:w="4501.4"/>
        <w:col w:space="0" w:w="4501.4"/>
      </w:cols>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alma Capín" w:id="0" w:date="2026-09-27T03:08:38Z">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Hay que preguntarle al profe en qué formato, por ahora puse las mías en APA 7</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88" w15:done="0"/>
</w15:commentsEx>
</file>

<file path=word/commentsExtensible.xml><?xml version="1.0" encoding="utf-8"?>
<w16cex:commentsExtensib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ex:commentExtensible w16cex:durableId="00000001" w16cex:dateUtc="2026-09-27T03:08:38Z"/>
</w16cex:commentsExtensible>
</file>

<file path=word/commentsIds.xml><?xml version="1.0" encoding="utf-8"?>
<w16cid:commentsId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id:commentId w16cid:paraId="00000088" w16cid:durableId="00000001"/>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63496/ejcs.vol1.iss2.76" TargetMode="External"/><Relationship Id="rId11" Type="http://schemas.openxmlformats.org/officeDocument/2006/relationships/hyperlink" Target="https://doi.org/10.22266/ijies2024.0831.48" TargetMode="External"/><Relationship Id="rId22" Type="http://schemas.openxmlformats.org/officeDocument/2006/relationships/hyperlink" Target="https://www.mongodb.com/es/docs/manual/data-modeling/" TargetMode="External"/><Relationship Id="rId10" Type="http://schemas.openxmlformats.org/officeDocument/2006/relationships/hyperlink" Target="mailto:capinsalma@gmail.com" TargetMode="External"/><Relationship Id="rId21" Type="http://schemas.openxmlformats.org/officeDocument/2006/relationships/hyperlink" Target="https://www.mongodb.com/es/docs/manual/data-modeling/" TargetMode="External"/><Relationship Id="rId13" Type="http://schemas.openxmlformats.org/officeDocument/2006/relationships/hyperlink" Target="https://doi.org/10.1186/2192-113x-2-22" TargetMode="External"/><Relationship Id="rId12" Type="http://schemas.openxmlformats.org/officeDocument/2006/relationships/hyperlink" Target="https://doi.org/10.22266/ijies2024.0831.48"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6/09/relationships/commentsIds" Target="commentsIds.xml"/><Relationship Id="rId15" Type="http://schemas.openxmlformats.org/officeDocument/2006/relationships/hyperlink" Target="https://doi.org/10.1016/bs.adcom.2018.01.003" TargetMode="External"/><Relationship Id="rId14" Type="http://schemas.openxmlformats.org/officeDocument/2006/relationships/hyperlink" Target="https://doi.org/10.1186/2192-113x-2-22" TargetMode="External"/><Relationship Id="rId17" Type="http://schemas.openxmlformats.org/officeDocument/2006/relationships/hyperlink" Target="https://www.ibm.com/mx-es/think/topics/nosql-databases" TargetMode="External"/><Relationship Id="rId16" Type="http://schemas.openxmlformats.org/officeDocument/2006/relationships/hyperlink" Target="https://doi.org/10.1016/bs.adcom.2018.01.003" TargetMode="External"/><Relationship Id="rId5" Type="http://schemas.openxmlformats.org/officeDocument/2006/relationships/numbering" Target="numbering.xml"/><Relationship Id="rId19" Type="http://schemas.openxmlformats.org/officeDocument/2006/relationships/hyperlink" Target="https://doi.org/10.63496/ejcs.vol1.iss2.76" TargetMode="External"/><Relationship Id="rId6" Type="http://schemas.openxmlformats.org/officeDocument/2006/relationships/styles" Target="styles.xml"/><Relationship Id="rId18" Type="http://schemas.openxmlformats.org/officeDocument/2006/relationships/hyperlink" Target="https://www.ibm.com/mx-es/think/topics/nosql-databases" TargetMode="External"/><Relationship Id="rId7" Type="http://schemas.microsoft.com/office/2011/relationships/commentsExtended" Target="commentsExtended.xml"/><Relationship Id="rId8"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