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jc w:val="left"/>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1619250"/>
                    </a:xfrm>
                    <a:prstGeom prst="rect">
                      <a:avLst/>
                    </a:prstGeom>
                  </pic:spPr>
                </pic:pic>
              </a:graphicData>
            </a:graphic>
          </wp:inline>
        </w:drawing>
      </w:r>
    </w:p>
    <w:p>
      <w:pPr>
        <w:spacing w:after="120"/>
      </w:pPr>
      <w:r>
        <w:rPr>
          <w:rFonts w:ascii="Arial" w:cs="Arial" w:eastAsia="Arial" w:hAnsi="Arial"/>
          <w:b/>
          <w:bCs/>
          <w:color w:val="E10018"/>
          <w:spacing w:val="40"/>
          <w:sz w:val="20"/>
          <w:szCs w:val="20"/>
        </w:rPr>
        <w:t xml:space="preserve">REPORTE DE AVANCES</w:t>
      </w:r>
    </w:p>
    <w:p>
      <w:pPr>
        <w:spacing w:after="80"/>
      </w:pPr>
      <w:r>
        <w:rPr>
          <w:rFonts w:ascii="Arial" w:cs="Arial" w:eastAsia="Arial" w:hAnsi="Arial"/>
          <w:b/>
          <w:bCs/>
          <w:sz w:val="72"/>
          <w:szCs w:val="72"/>
        </w:rPr>
        <w:t xml:space="preserve">OTLI-IA</w:t>
      </w:r>
    </w:p>
    <w:p>
      <w:pPr>
        <w:pBdr>
          <w:bottom w:val="single" w:color="1D1D1F" w:sz="12" w:space="18"/>
        </w:pBdr>
        <w:spacing w:after="600"/>
      </w:pPr>
      <w:r>
        <w:rPr>
          <w:rFonts w:ascii="Arial" w:cs="Arial" w:eastAsia="Arial" w:hAnsi="Arial"/>
          <w:color w:val="5F6368"/>
          <w:sz w:val="26"/>
          <w:szCs w:val="26"/>
        </w:rPr>
        <w:t xml:space="preserve">Plataforma SaaS de automatización con inteligencia artificial para PYMES</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86"/>
        <w:gridCol w:w="4986"/>
      </w:tblGrid>
      <w:tr>
        <w:trPr>
          <w:cantSplit/>
        </w:trPr>
        <w:tc>
          <w:tcPr>
            <w:tcW w:type="dxa" w:w="4986"/>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jc w:val="left"/>
            </w:pPr>
            <w:r>
              <w:rPr>
                <w:rFonts w:ascii="Arial" w:cs="Arial" w:eastAsia="Arial" w:hAnsi="Arial"/>
                <w:b/>
                <w:bCs/>
                <w:caps/>
                <w:color w:val="5F6368"/>
                <w:sz w:val="15"/>
                <w:szCs w:val="15"/>
              </w:rPr>
              <w:t xml:space="preserve">Persona estudiante</w:t>
            </w:r>
          </w:p>
        </w:tc>
        <w:tc>
          <w:tcPr>
            <w:tcW w:type="dxa" w:w="4986"/>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jc w:val="left"/>
            </w:pPr>
            <w:r>
              <w:rPr>
                <w:rFonts w:ascii="Arial" w:cs="Arial" w:eastAsia="Arial" w:hAnsi="Arial"/>
                <w:b/>
                <w:bCs/>
                <w:caps/>
                <w:color w:val="5F6368"/>
                <w:sz w:val="15"/>
                <w:szCs w:val="15"/>
              </w:rPr>
              <w:t xml:space="preserve">Número de cuenta</w:t>
            </w:r>
          </w:p>
        </w:tc>
      </w:tr>
      <w:tr>
        <w:trPr>
          <w:cantSplit/>
        </w:trPr>
        <w:tc>
          <w:tcPr>
            <w:tcW w:type="dxa" w:w="4986"/>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jc w:val="left"/>
            </w:pPr>
            <w:r>
              <w:rPr>
                <w:rFonts w:ascii="Arial" w:cs="Arial" w:eastAsia="Arial" w:hAnsi="Arial"/>
                <w:b/>
                <w:bCs/>
                <w:sz w:val="22"/>
                <w:szCs w:val="22"/>
              </w:rPr>
              <w:t xml:space="preserve">Emilio Arroyo Valadez</w:t>
            </w:r>
          </w:p>
        </w:tc>
        <w:tc>
          <w:tcPr>
            <w:tcW w:type="dxa" w:w="4986"/>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jc w:val="left"/>
            </w:pPr>
            <w:r>
              <w:rPr>
                <w:rFonts w:ascii="Arial" w:cs="Arial" w:eastAsia="Arial" w:hAnsi="Arial"/>
                <w:b/>
                <w:bCs/>
                <w:sz w:val="22"/>
                <w:szCs w:val="22"/>
              </w:rPr>
              <w:t xml:space="preserve">190162-5</w:t>
            </w:r>
          </w:p>
        </w:tc>
      </w:tr>
      <w:tr>
        <w:trPr>
          <w:cantSplit/>
        </w:trPr>
        <w:tc>
          <w:tcPr>
            <w:tcW w:type="dxa" w:w="4986"/>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jc w:val="left"/>
            </w:pPr>
            <w:r>
              <w:rPr>
                <w:rFonts w:ascii="Arial" w:cs="Arial" w:eastAsia="Arial" w:hAnsi="Arial"/>
                <w:b/>
                <w:bCs/>
                <w:caps/>
                <w:color w:val="5F6368"/>
                <w:sz w:val="15"/>
                <w:szCs w:val="15"/>
              </w:rPr>
              <w:t xml:space="preserve">Licenciatura</w:t>
            </w:r>
          </w:p>
        </w:tc>
        <w:tc>
          <w:tcPr>
            <w:tcW w:type="dxa" w:w="4986"/>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jc w:val="left"/>
            </w:pPr>
            <w:r>
              <w:rPr>
                <w:rFonts w:ascii="Arial" w:cs="Arial" w:eastAsia="Arial" w:hAnsi="Arial"/>
                <w:b/>
                <w:bCs/>
                <w:caps/>
                <w:color w:val="5F6368"/>
                <w:sz w:val="15"/>
                <w:szCs w:val="15"/>
              </w:rPr>
              <w:t xml:space="preserve">Universidad</w:t>
            </w:r>
          </w:p>
        </w:tc>
      </w:tr>
      <w:tr>
        <w:trPr>
          <w:cantSplit/>
        </w:trPr>
        <w:tc>
          <w:tcPr>
            <w:tcW w:type="dxa" w:w="4986"/>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jc w:val="left"/>
            </w:pPr>
            <w:r>
              <w:rPr>
                <w:rFonts w:ascii="Arial" w:cs="Arial" w:eastAsia="Arial" w:hAnsi="Arial"/>
                <w:b/>
                <w:bCs/>
                <w:sz w:val="22"/>
                <w:szCs w:val="22"/>
              </w:rPr>
              <w:t xml:space="preserve">Inteligencia de Negocios</w:t>
            </w:r>
          </w:p>
        </w:tc>
        <w:tc>
          <w:tcPr>
            <w:tcW w:type="dxa" w:w="4986"/>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jc w:val="left"/>
            </w:pPr>
            <w:r>
              <w:rPr>
                <w:rFonts w:ascii="Arial" w:cs="Arial" w:eastAsia="Arial" w:hAnsi="Arial"/>
                <w:b/>
                <w:bCs/>
                <w:sz w:val="22"/>
                <w:szCs w:val="22"/>
              </w:rPr>
              <w:t xml:space="preserve">Universidad Iberoamericana León</w:t>
            </w:r>
          </w:p>
        </w:tc>
      </w:tr>
      <w:tr>
        <w:trPr>
          <w:cantSplit/>
        </w:trPr>
        <w:tc>
          <w:tcPr>
            <w:tcW w:type="dxa" w:w="4986"/>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jc w:val="left"/>
            </w:pPr>
            <w:r>
              <w:rPr>
                <w:rFonts w:ascii="Arial" w:cs="Arial" w:eastAsia="Arial" w:hAnsi="Arial"/>
                <w:b/>
                <w:bCs/>
                <w:caps/>
                <w:color w:val="5F6368"/>
                <w:sz w:val="15"/>
                <w:szCs w:val="15"/>
              </w:rPr>
              <w:t xml:space="preserve">Institución receptora</w:t>
            </w:r>
          </w:p>
        </w:tc>
        <w:tc>
          <w:tcPr>
            <w:tcW w:type="dxa" w:w="4986"/>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jc w:val="left"/>
            </w:pPr>
            <w:r>
              <w:rPr>
                <w:rFonts w:ascii="Arial" w:cs="Arial" w:eastAsia="Arial" w:hAnsi="Arial"/>
                <w:b/>
                <w:bCs/>
                <w:caps/>
                <w:color w:val="5F6368"/>
                <w:sz w:val="15"/>
                <w:szCs w:val="15"/>
              </w:rPr>
              <w:t xml:space="preserve">Líder de proyecto</w:t>
            </w:r>
          </w:p>
        </w:tc>
      </w:tr>
      <w:tr>
        <w:trPr>
          <w:cantSplit/>
        </w:trPr>
        <w:tc>
          <w:tcPr>
            <w:tcW w:type="dxa" w:w="4986"/>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jc w:val="left"/>
            </w:pPr>
            <w:r>
              <w:rPr>
                <w:rFonts w:ascii="Arial" w:cs="Arial" w:eastAsia="Arial" w:hAnsi="Arial"/>
                <w:b/>
                <w:bCs/>
                <w:sz w:val="22"/>
                <w:szCs w:val="22"/>
              </w:rPr>
              <w:t xml:space="preserve">IBERO EMPRENDE · Ibero Innovación</w:t>
            </w:r>
          </w:p>
        </w:tc>
        <w:tc>
          <w:tcPr>
            <w:tcW w:type="dxa" w:w="4986"/>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jc w:val="left"/>
            </w:pPr>
            <w:r>
              <w:rPr>
                <w:rFonts w:ascii="Arial" w:cs="Arial" w:eastAsia="Arial" w:hAnsi="Arial"/>
                <w:b/>
                <w:bCs/>
                <w:sz w:val="22"/>
                <w:szCs w:val="22"/>
              </w:rPr>
              <w:t xml:space="preserve">Mtra. María Guadalupe Sánchez González</w:t>
            </w:r>
          </w:p>
        </w:tc>
      </w:tr>
      <w:tr>
        <w:trPr>
          <w:cantSplit/>
        </w:trPr>
        <w:tc>
          <w:tcPr>
            <w:tcW w:type="dxa" w:w="4986"/>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jc w:val="left"/>
            </w:pPr>
            <w:r>
              <w:rPr>
                <w:rFonts w:ascii="Arial" w:cs="Arial" w:eastAsia="Arial" w:hAnsi="Arial"/>
                <w:b/>
                <w:bCs/>
                <w:caps/>
                <w:color w:val="5F6368"/>
                <w:sz w:val="15"/>
                <w:szCs w:val="15"/>
              </w:rPr>
              <w:t xml:space="preserve">Asignatura</w:t>
            </w:r>
          </w:p>
        </w:tc>
        <w:tc>
          <w:tcPr>
            <w:tcW w:type="dxa" w:w="4986"/>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jc w:val="left"/>
            </w:pPr>
            <w:r>
              <w:rPr>
                <w:rFonts w:ascii="Arial" w:cs="Arial" w:eastAsia="Arial" w:hAnsi="Arial"/>
                <w:b/>
                <w:bCs/>
                <w:caps/>
                <w:color w:val="5F6368"/>
                <w:sz w:val="15"/>
                <w:szCs w:val="15"/>
              </w:rPr>
              <w:t xml:space="preserve">Fecha</w:t>
            </w:r>
          </w:p>
        </w:tc>
      </w:tr>
      <w:tr>
        <w:trPr>
          <w:cantSplit/>
        </w:trPr>
        <w:tc>
          <w:tcPr>
            <w:tcW w:type="dxa" w:w="4986"/>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jc w:val="left"/>
            </w:pPr>
            <w:r>
              <w:rPr>
                <w:rFonts w:ascii="Arial" w:cs="Arial" w:eastAsia="Arial" w:hAnsi="Arial"/>
                <w:b/>
                <w:bCs/>
                <w:sz w:val="22"/>
                <w:szCs w:val="22"/>
              </w:rPr>
              <w:t xml:space="preserve">Proyectos de Gestión</w:t>
            </w:r>
          </w:p>
        </w:tc>
        <w:tc>
          <w:tcPr>
            <w:tcW w:type="dxa" w:w="4986"/>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jc w:val="left"/>
            </w:pPr>
            <w:r>
              <w:rPr>
                <w:rFonts w:ascii="Arial" w:cs="Arial" w:eastAsia="Arial" w:hAnsi="Arial"/>
                <w:b/>
                <w:bCs/>
                <w:sz w:val="22"/>
                <w:szCs w:val="22"/>
              </w:rPr>
              <w:t xml:space="preserve">16 de octubre de 2026</w:t>
            </w:r>
          </w:p>
        </w:tc>
      </w:tr>
    </w:tbl>
    <w:p>
      <w:pPr>
        <w:spacing w:before="1400"/>
      </w:pPr>
      <w:r>
        <w:rPr>
          <w:rFonts w:ascii="Arial" w:cs="Arial" w:eastAsia="Arial" w:hAnsi="Arial"/>
          <w:color w:val="5F6368"/>
          <w:sz w:val="19"/>
          <w:szCs w:val="19"/>
        </w:rPr>
        <w:t xml:space="preserve">León, Guanajuato</w:t>
      </w:r>
    </w:p>
    <w:p>
      <w:pPr>
        <w:sectPr>
          <w:pgSz w:w="12240" w:h="15840" w:orient="portrait"/>
          <w:pgMar w:top="1300" w:right="1134" w:bottom="1134" w:left="1134" w:header="560" w:footer="560" w:gutter="0"/>
          <w:pgNumType/>
          <w:docGrid w:linePitch="360"/>
        </w:sectPr>
      </w:pPr>
    </w:p>
    <w:p>
      <w:pPr>
        <w:keepNext/>
        <w:pageBreakBefore/>
        <w:pBdr>
          <w:bottom w:val="single" w:color="E10018" w:sz="16" w:space="4"/>
        </w:pBdr>
        <w:spacing w:after="200" w:before="0"/>
      </w:pPr>
      <w:r>
        <w:rPr>
          <w:rFonts w:ascii="Arial" w:cs="Arial" w:eastAsia="Arial" w:hAnsi="Arial"/>
          <w:b/>
          <w:bCs/>
          <w:color w:val="E10018"/>
          <w:sz w:val="32"/>
          <w:szCs w:val="32"/>
        </w:rPr>
        <w:t xml:space="preserve">01  </w:t>
      </w:r>
      <w:r>
        <w:rPr>
          <w:rFonts w:ascii="Arial" w:cs="Arial" w:eastAsia="Arial" w:hAnsi="Arial"/>
          <w:b/>
          <w:bCs/>
          <w:sz w:val="32"/>
          <w:szCs w:val="32"/>
        </w:rPr>
        <w:t xml:space="preserve">Datos generales</w:t>
      </w:r>
    </w:p>
    <w:p>
      <w:pPr>
        <w:keepNext/>
        <w:spacing w:after="100" w:before="240"/>
      </w:pPr>
      <w:r>
        <w:rPr>
          <w:rFonts w:ascii="Arial" w:cs="Arial" w:eastAsia="Arial" w:hAnsi="Arial"/>
          <w:b/>
          <w:bCs/>
          <w:sz w:val="23"/>
          <w:szCs w:val="23"/>
        </w:rPr>
        <w:t xml:space="preserve">Universidad y persona estudiante</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772"/>
      </w:tblGrid>
      <w:tr>
        <w:trPr>
          <w:cantSplit/>
        </w:trPr>
        <w:tc>
          <w:tcPr>
            <w:tcW w:type="dxa" w:w="32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color w:val="5F6368"/>
                <w:sz w:val="19"/>
                <w:szCs w:val="19"/>
              </w:rPr>
              <w:t xml:space="preserve">Universidad</w:t>
            </w:r>
          </w:p>
        </w:tc>
        <w:tc>
          <w:tcPr>
            <w:tcW w:type="dxa" w:w="6772"/>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b/>
                <w:bCs/>
                <w:sz w:val="19"/>
                <w:szCs w:val="19"/>
              </w:rPr>
              <w:t xml:space="preserve">Universidad Iberoamericana León</w:t>
            </w:r>
          </w:p>
        </w:tc>
      </w:tr>
      <w:tr>
        <w:trPr>
          <w:cantSplit/>
        </w:trPr>
        <w:tc>
          <w:tcPr>
            <w:tcW w:type="dxa" w:w="32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color w:val="5F6368"/>
                <w:sz w:val="19"/>
                <w:szCs w:val="19"/>
              </w:rPr>
              <w:t xml:space="preserve">Asignatura</w:t>
            </w:r>
          </w:p>
        </w:tc>
        <w:tc>
          <w:tcPr>
            <w:tcW w:type="dxa" w:w="6772"/>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b/>
                <w:bCs/>
                <w:sz w:val="19"/>
                <w:szCs w:val="19"/>
              </w:rPr>
              <w:t xml:space="preserve">Proyectos de Gestión</w:t>
            </w:r>
          </w:p>
        </w:tc>
      </w:tr>
      <w:tr>
        <w:trPr>
          <w:cantSplit/>
        </w:trPr>
        <w:tc>
          <w:tcPr>
            <w:tcW w:type="dxa" w:w="32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color w:val="5F6368"/>
                <w:sz w:val="19"/>
                <w:szCs w:val="19"/>
              </w:rPr>
              <w:t xml:space="preserve">Licenciatura</w:t>
            </w:r>
          </w:p>
        </w:tc>
        <w:tc>
          <w:tcPr>
            <w:tcW w:type="dxa" w:w="6772"/>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b/>
                <w:bCs/>
                <w:sz w:val="19"/>
                <w:szCs w:val="19"/>
              </w:rPr>
              <w:t xml:space="preserve">Inteligencia de Negocios</w:t>
            </w:r>
          </w:p>
        </w:tc>
      </w:tr>
      <w:tr>
        <w:trPr>
          <w:cantSplit/>
        </w:trPr>
        <w:tc>
          <w:tcPr>
            <w:tcW w:type="dxa" w:w="32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color w:val="5F6368"/>
                <w:sz w:val="19"/>
                <w:szCs w:val="19"/>
              </w:rPr>
              <w:t xml:space="preserve">Nombre</w:t>
            </w:r>
          </w:p>
        </w:tc>
        <w:tc>
          <w:tcPr>
            <w:tcW w:type="dxa" w:w="6772"/>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b/>
                <w:bCs/>
                <w:sz w:val="19"/>
                <w:szCs w:val="19"/>
              </w:rPr>
              <w:t xml:space="preserve">Emilio Arroyo Valadez</w:t>
            </w:r>
          </w:p>
        </w:tc>
      </w:tr>
      <w:tr>
        <w:trPr>
          <w:cantSplit/>
        </w:trPr>
        <w:tc>
          <w:tcPr>
            <w:tcW w:type="dxa" w:w="32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color w:val="5F6368"/>
                <w:sz w:val="19"/>
                <w:szCs w:val="19"/>
              </w:rPr>
              <w:t xml:space="preserve">Número de cuenta</w:t>
            </w:r>
          </w:p>
        </w:tc>
        <w:tc>
          <w:tcPr>
            <w:tcW w:type="dxa" w:w="6772"/>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b/>
                <w:bCs/>
                <w:sz w:val="19"/>
                <w:szCs w:val="19"/>
              </w:rPr>
              <w:t xml:space="preserve">190162-5</w:t>
            </w:r>
          </w:p>
        </w:tc>
      </w:tr>
    </w:tbl>
    <w:p>
      <w:pPr>
        <w:keepNext/>
        <w:spacing w:after="100" w:before="240"/>
      </w:pPr>
      <w:r>
        <w:rPr>
          <w:rFonts w:ascii="Arial" w:cs="Arial" w:eastAsia="Arial" w:hAnsi="Arial"/>
          <w:b/>
          <w:bCs/>
          <w:sz w:val="23"/>
          <w:szCs w:val="23"/>
        </w:rPr>
        <w:t xml:space="preserve">Institución receptora (IR)</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772"/>
      </w:tblGrid>
      <w:tr>
        <w:trPr>
          <w:cantSplit/>
        </w:trPr>
        <w:tc>
          <w:tcPr>
            <w:tcW w:type="dxa" w:w="32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color w:val="5F6368"/>
                <w:sz w:val="19"/>
                <w:szCs w:val="19"/>
              </w:rPr>
              <w:t xml:space="preserve">Nombre de la IR</w:t>
            </w:r>
          </w:p>
        </w:tc>
        <w:tc>
          <w:tcPr>
            <w:tcW w:type="dxa" w:w="6772"/>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b/>
                <w:bCs/>
                <w:sz w:val="19"/>
                <w:szCs w:val="19"/>
              </w:rPr>
              <w:t xml:space="preserve">Ibero Innovación, Parque Tecnológico de la Universidad Iberoamericana León</w:t>
            </w:r>
          </w:p>
        </w:tc>
      </w:tr>
      <w:tr>
        <w:trPr>
          <w:cantSplit/>
        </w:trPr>
        <w:tc>
          <w:tcPr>
            <w:tcW w:type="dxa" w:w="32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color w:val="5F6368"/>
                <w:sz w:val="19"/>
                <w:szCs w:val="19"/>
              </w:rPr>
              <w:t xml:space="preserve">Área</w:t>
            </w:r>
          </w:p>
        </w:tc>
        <w:tc>
          <w:tcPr>
            <w:tcW w:type="dxa" w:w="6772"/>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b/>
                <w:bCs/>
                <w:sz w:val="19"/>
                <w:szCs w:val="19"/>
              </w:rPr>
              <w:t xml:space="preserve">IBERO EMPRENDE: programa de incubación de empresas</w:t>
            </w:r>
          </w:p>
        </w:tc>
      </w:tr>
      <w:tr>
        <w:trPr>
          <w:cantSplit/>
        </w:trPr>
        <w:tc>
          <w:tcPr>
            <w:tcW w:type="dxa" w:w="32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color w:val="5F6368"/>
                <w:sz w:val="19"/>
                <w:szCs w:val="19"/>
              </w:rPr>
              <w:t xml:space="preserve">Líder de proyecto</w:t>
            </w:r>
          </w:p>
        </w:tc>
        <w:tc>
          <w:tcPr>
            <w:tcW w:type="dxa" w:w="6772"/>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b/>
                <w:bCs/>
                <w:sz w:val="19"/>
                <w:szCs w:val="19"/>
              </w:rPr>
              <w:t xml:space="preserve">Mtra. María Guadalupe Sánchez González</w:t>
            </w:r>
          </w:p>
        </w:tc>
      </w:tr>
      <w:tr>
        <w:trPr>
          <w:cantSplit/>
        </w:trPr>
        <w:tc>
          <w:tcPr>
            <w:tcW w:type="dxa" w:w="32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color w:val="5F6368"/>
                <w:sz w:val="19"/>
                <w:szCs w:val="19"/>
              </w:rPr>
              <w:t xml:space="preserve">Cargo</w:t>
            </w:r>
          </w:p>
        </w:tc>
        <w:tc>
          <w:tcPr>
            <w:tcW w:type="dxa" w:w="6772"/>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b/>
                <w:bCs/>
                <w:sz w:val="19"/>
                <w:szCs w:val="19"/>
              </w:rPr>
              <w:t xml:space="preserve">Coordinadora</w:t>
            </w:r>
          </w:p>
        </w:tc>
      </w:tr>
    </w:tbl>
    <w:p>
      <w:pPr>
        <w:keepNext/>
        <w:spacing w:after="100" w:before="240"/>
      </w:pPr>
      <w:r>
        <w:rPr>
          <w:rFonts w:ascii="Arial" w:cs="Arial" w:eastAsia="Arial" w:hAnsi="Arial"/>
          <w:b/>
          <w:bCs/>
          <w:sz w:val="23"/>
          <w:szCs w:val="23"/>
        </w:rPr>
        <w:t xml:space="preserve">Proyecto</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772"/>
      </w:tblGrid>
      <w:tr>
        <w:trPr>
          <w:cantSplit/>
        </w:trPr>
        <w:tc>
          <w:tcPr>
            <w:tcW w:type="dxa" w:w="32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color w:val="5F6368"/>
                <w:sz w:val="19"/>
                <w:szCs w:val="19"/>
              </w:rPr>
              <w:t xml:space="preserve">Nombre del proyecto</w:t>
            </w:r>
          </w:p>
        </w:tc>
        <w:tc>
          <w:tcPr>
            <w:tcW w:type="dxa" w:w="6772"/>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b/>
                <w:bCs/>
                <w:sz w:val="19"/>
                <w:szCs w:val="19"/>
              </w:rPr>
              <w:t xml:space="preserve">OTLI-IA</w:t>
            </w:r>
          </w:p>
        </w:tc>
      </w:tr>
      <w:tr>
        <w:trPr>
          <w:cantSplit/>
        </w:trPr>
        <w:tc>
          <w:tcPr>
            <w:tcW w:type="dxa" w:w="32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color w:val="5F6368"/>
                <w:sz w:val="19"/>
                <w:szCs w:val="19"/>
              </w:rPr>
              <w:t xml:space="preserve">Giro</w:t>
            </w:r>
          </w:p>
        </w:tc>
        <w:tc>
          <w:tcPr>
            <w:tcW w:type="dxa" w:w="6772"/>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b/>
                <w:bCs/>
                <w:sz w:val="19"/>
                <w:szCs w:val="19"/>
              </w:rPr>
              <w:t xml:space="preserve">SaaS de automatización de procesos repetitivos y manuales con inteligencia artificial</w:t>
            </w:r>
          </w:p>
        </w:tc>
      </w:tr>
      <w:tr>
        <w:trPr>
          <w:cantSplit/>
        </w:trPr>
        <w:tc>
          <w:tcPr>
            <w:tcW w:type="dxa" w:w="32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color w:val="5F6368"/>
                <w:sz w:val="19"/>
                <w:szCs w:val="19"/>
              </w:rPr>
              <w:t xml:space="preserve">Situación de la empresa</w:t>
            </w:r>
          </w:p>
        </w:tc>
        <w:tc>
          <w:tcPr>
            <w:tcW w:type="dxa" w:w="6772"/>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b/>
                <w:bCs/>
                <w:sz w:val="19"/>
                <w:szCs w:val="19"/>
              </w:rPr>
              <w:t xml:space="preserve">En proceso de constitución; 2 socios, sin empleados</w:t>
            </w:r>
          </w:p>
        </w:tc>
      </w:tr>
    </w:tbl>
    <w:p>
      <w:pPr>
        <w:spacing w:after="140" w:before="200" w:line="300"/>
        <w:jc w:val="both"/>
      </w:pPr>
      <w:r>
        <w:rPr>
          <w:rFonts w:ascii="Arial" w:cs="Arial" w:eastAsia="Arial" w:hAnsi="Arial"/>
          <w:b/>
          <w:bCs/>
          <w:sz w:val="21"/>
          <w:szCs w:val="21"/>
        </w:rPr>
        <w:t xml:space="preserve">Objetivo del proyecto. </w:t>
      </w:r>
      <w:r>
        <w:rPr>
          <w:rFonts w:ascii="Arial" w:cs="Arial" w:eastAsia="Arial" w:hAnsi="Arial"/>
          <w:sz w:val="21"/>
          <w:szCs w:val="21"/>
        </w:rPr>
        <w:t xml:space="preserve">Desarrollar y validar una plataforma SaaS de inteligencia artificial que permita a las PYMES automatizar procesos repetitivos, mejorar su eficiencia y atención al cliente, y crecer sin aumentar proporcionalmente su carga operativa.</w:t>
      </w:r>
    </w:p>
    <w:p>
      <w:pPr>
        <w:spacing w:after="140" w:before="0" w:line="300"/>
        <w:jc w:val="both"/>
      </w:pPr>
      <w:r>
        <w:rPr>
          <w:rFonts w:ascii="Arial" w:cs="Arial" w:eastAsia="Arial" w:hAnsi="Arial"/>
          <w:sz w:val="21"/>
          <w:szCs w:val="21"/>
        </w:rPr>
        <w:t xml:space="preserve">Mis Proyectos de Gestión no se realizan en una empresa externa, sino dentro de la incubadora de la Ibero, donde desarrollo mi propio emprendimiento. OTLI es la empresa y la plataforma; OLI es el agente de inteligencia artificial que atiende clientes, da seguimiento a prospectos y gestiona citas por WhatsApp, Instagram, Messenger y la página web.</w:t>
      </w:r>
    </w:p>
    <w:p>
      <w:pPr>
        <w:keepNext/>
        <w:pageBreakBefore/>
        <w:pBdr>
          <w:bottom w:val="single" w:color="E10018" w:sz="16" w:space="4"/>
        </w:pBdr>
        <w:spacing w:after="200" w:before="0"/>
      </w:pPr>
      <w:r>
        <w:rPr>
          <w:rFonts w:ascii="Arial" w:cs="Arial" w:eastAsia="Arial" w:hAnsi="Arial"/>
          <w:b/>
          <w:bCs/>
          <w:color w:val="E10018"/>
          <w:sz w:val="32"/>
          <w:szCs w:val="32"/>
        </w:rPr>
        <w:t xml:space="preserve">02  </w:t>
      </w:r>
      <w:r>
        <w:rPr>
          <w:rFonts w:ascii="Arial" w:cs="Arial" w:eastAsia="Arial" w:hAnsi="Arial"/>
          <w:b/>
          <w:bCs/>
          <w:sz w:val="32"/>
          <w:szCs w:val="32"/>
        </w:rPr>
        <w:t xml:space="preserve">Avances en el plan de trabajo</w:t>
      </w:r>
    </w:p>
    <w:p>
      <w:pPr>
        <w:spacing w:after="140" w:before="0" w:line="300"/>
        <w:jc w:val="both"/>
      </w:pPr>
      <w:r>
        <w:rPr>
          <w:rFonts w:ascii="Arial" w:cs="Arial" w:eastAsia="Arial" w:hAnsi="Arial"/>
          <w:sz w:val="22"/>
          <w:szCs w:val="22"/>
        </w:rPr>
        <w:t xml:space="preserve">Al cierre de la semana 9 he cubierto 196 de las 320 horas del programa (61 %). De las 15 semanas del temario, 7 temas están concluidos, 2 en proceso y 6 pendientes.</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24"/>
        <w:gridCol w:w="3324"/>
        <w:gridCol w:w="3324"/>
      </w:tblGrid>
      <w:tr>
        <w:tc>
          <w:tcPr>
            <w:tcW w:type="dxa" w:w="3324"/>
            <w:tcBorders>
              <w:top w:val="single" w:color="FFFFFF" w:sz="24"/>
              <w:left w:val="single" w:color="FFFFFF" w:sz="24"/>
              <w:bottom w:val="single" w:color="FFFFFF" w:sz="24"/>
              <w:right w:val="single" w:color="FFFFFF" w:sz="24"/>
            </w:tcBorders>
            <w:shd w:fill="F6F7F8" w:color="auto" w:val="clear"/>
            <w:tcMar>
              <w:top w:type="dxa" w:w="70"/>
              <w:left w:type="dxa" w:w="100"/>
              <w:bottom w:type="dxa" w:w="70"/>
              <w:right w:type="dxa" w:w="100"/>
            </w:tcMar>
            <w:vAlign w:val="top"/>
          </w:tcPr>
          <w:p>
            <w:r>
              <w:rPr>
                <w:rFonts w:ascii="Arial" w:cs="Arial" w:eastAsia="Arial" w:hAnsi="Arial"/>
                <w:b/>
                <w:bCs/>
                <w:caps/>
                <w:color w:val="5F6368"/>
                <w:sz w:val="15"/>
                <w:szCs w:val="15"/>
              </w:rPr>
              <w:t xml:space="preserve">Sesiones presenciales</w:t>
            </w:r>
          </w:p>
          <w:p>
            <w:pPr>
              <w:spacing w:before="60"/>
            </w:pPr>
            <w:r>
              <w:rPr>
                <w:rFonts w:ascii="Arial" w:cs="Arial" w:eastAsia="Arial" w:hAnsi="Arial"/>
                <w:b/>
                <w:bCs/>
                <w:sz w:val="40"/>
                <w:szCs w:val="40"/>
              </w:rPr>
              <w:t xml:space="preserve">36</w:t>
            </w:r>
            <w:r>
              <w:rPr>
                <w:rFonts w:ascii="Arial" w:cs="Arial" w:eastAsia="Arial" w:hAnsi="Arial"/>
                <w:color w:val="5F6368"/>
                <w:sz w:val="20"/>
                <w:szCs w:val="20"/>
              </w:rPr>
              <w:t xml:space="preserve"> / 56 h</w:t>
            </w:r>
          </w:p>
          <w:p>
            <w:r>
              <w:rPr>
                <w:rFonts w:ascii="Arial" w:cs="Arial" w:eastAsia="Arial" w:hAnsi="Arial"/>
                <w:b/>
                <w:bCs/>
                <w:color w:val="E10018"/>
                <w:sz w:val="17"/>
                <w:szCs w:val="17"/>
              </w:rPr>
              <w:t xml:space="preserve">64 % cubierto</w:t>
            </w:r>
          </w:p>
        </w:tc>
        <w:tc>
          <w:tcPr>
            <w:tcW w:type="dxa" w:w="3324"/>
            <w:tcBorders>
              <w:top w:val="single" w:color="FFFFFF" w:sz="24"/>
              <w:left w:val="single" w:color="FFFFFF" w:sz="24"/>
              <w:bottom w:val="single" w:color="FFFFFF" w:sz="24"/>
              <w:right w:val="single" w:color="FFFFFF" w:sz="24"/>
            </w:tcBorders>
            <w:shd w:fill="F6F7F8" w:color="auto" w:val="clear"/>
            <w:tcMar>
              <w:top w:type="dxa" w:w="70"/>
              <w:left w:type="dxa" w:w="100"/>
              <w:bottom w:type="dxa" w:w="70"/>
              <w:right w:type="dxa" w:w="100"/>
            </w:tcMar>
            <w:vAlign w:val="top"/>
          </w:tcPr>
          <w:p>
            <w:r>
              <w:rPr>
                <w:rFonts w:ascii="Arial" w:cs="Arial" w:eastAsia="Arial" w:hAnsi="Arial"/>
                <w:b/>
                <w:bCs/>
                <w:caps/>
                <w:color w:val="5F6368"/>
                <w:sz w:val="15"/>
                <w:szCs w:val="15"/>
              </w:rPr>
              <w:t xml:space="preserve">Trabajo autónomo</w:t>
            </w:r>
          </w:p>
          <w:p>
            <w:pPr>
              <w:spacing w:before="60"/>
            </w:pPr>
            <w:r>
              <w:rPr>
                <w:rFonts w:ascii="Arial" w:cs="Arial" w:eastAsia="Arial" w:hAnsi="Arial"/>
                <w:b/>
                <w:bCs/>
                <w:sz w:val="40"/>
                <w:szCs w:val="40"/>
              </w:rPr>
              <w:t xml:space="preserve">160</w:t>
            </w:r>
            <w:r>
              <w:rPr>
                <w:rFonts w:ascii="Arial" w:cs="Arial" w:eastAsia="Arial" w:hAnsi="Arial"/>
                <w:color w:val="5F6368"/>
                <w:sz w:val="20"/>
                <w:szCs w:val="20"/>
              </w:rPr>
              <w:t xml:space="preserve"> / 264 h</w:t>
            </w:r>
          </w:p>
          <w:p>
            <w:r>
              <w:rPr>
                <w:rFonts w:ascii="Arial" w:cs="Arial" w:eastAsia="Arial" w:hAnsi="Arial"/>
                <w:b/>
                <w:bCs/>
                <w:color w:val="E10018"/>
                <w:sz w:val="17"/>
                <w:szCs w:val="17"/>
              </w:rPr>
              <w:t xml:space="preserve">61 % cubierto</w:t>
            </w:r>
          </w:p>
        </w:tc>
        <w:tc>
          <w:tcPr>
            <w:tcW w:type="dxa" w:w="3324"/>
            <w:tcBorders>
              <w:top w:val="single" w:color="FFFFFF" w:sz="24"/>
              <w:left w:val="single" w:color="FFFFFF" w:sz="24"/>
              <w:bottom w:val="single" w:color="FFFFFF" w:sz="24"/>
              <w:right w:val="single" w:color="FFFFFF" w:sz="24"/>
            </w:tcBorders>
            <w:shd w:fill="F6F7F8" w:color="auto" w:val="clear"/>
            <w:tcMar>
              <w:top w:type="dxa" w:w="70"/>
              <w:left w:type="dxa" w:w="100"/>
              <w:bottom w:type="dxa" w:w="70"/>
              <w:right w:type="dxa" w:w="100"/>
            </w:tcMar>
            <w:vAlign w:val="top"/>
          </w:tcPr>
          <w:p>
            <w:r>
              <w:rPr>
                <w:rFonts w:ascii="Arial" w:cs="Arial" w:eastAsia="Arial" w:hAnsi="Arial"/>
                <w:b/>
                <w:bCs/>
                <w:caps/>
                <w:color w:val="5F6368"/>
                <w:sz w:val="15"/>
                <w:szCs w:val="15"/>
              </w:rPr>
              <w:t xml:space="preserve">Total del programa</w:t>
            </w:r>
          </w:p>
          <w:p>
            <w:pPr>
              <w:spacing w:before="60"/>
            </w:pPr>
            <w:r>
              <w:rPr>
                <w:rFonts w:ascii="Arial" w:cs="Arial" w:eastAsia="Arial" w:hAnsi="Arial"/>
                <w:b/>
                <w:bCs/>
                <w:sz w:val="40"/>
                <w:szCs w:val="40"/>
              </w:rPr>
              <w:t xml:space="preserve">196</w:t>
            </w:r>
            <w:r>
              <w:rPr>
                <w:rFonts w:ascii="Arial" w:cs="Arial" w:eastAsia="Arial" w:hAnsi="Arial"/>
                <w:color w:val="5F6368"/>
                <w:sz w:val="20"/>
                <w:szCs w:val="20"/>
              </w:rPr>
              <w:t xml:space="preserve"> / 320 h</w:t>
            </w:r>
          </w:p>
          <w:p>
            <w:r>
              <w:rPr>
                <w:rFonts w:ascii="Arial" w:cs="Arial" w:eastAsia="Arial" w:hAnsi="Arial"/>
                <w:b/>
                <w:bCs/>
                <w:color w:val="E10018"/>
                <w:sz w:val="17"/>
                <w:szCs w:val="17"/>
              </w:rPr>
              <w:t xml:space="preserve">61 % cubierto · faltan 124 h</w:t>
            </w:r>
          </w:p>
        </w:tc>
      </w:tr>
    </w:tbl>
    <w:p>
      <w:pPr>
        <w:keepNext/>
        <w:spacing w:after="100" w:before="240"/>
      </w:pPr>
      <w:r>
        <w:rPr>
          <w:rFonts w:ascii="Arial" w:cs="Arial" w:eastAsia="Arial" w:hAnsi="Arial"/>
          <w:b/>
          <w:bCs/>
          <w:sz w:val="23"/>
          <w:szCs w:val="23"/>
        </w:rPr>
        <w:t xml:space="preserve">Cronograma de actividades</w:t>
      </w:r>
    </w:p>
    <w:p>
      <w:pPr>
        <w:spacing w:after="80" w:before="0" w:line="300"/>
        <w:jc w:val="both"/>
      </w:pPr>
      <w:r>
        <w:rPr>
          <w:rFonts w:ascii="Arial" w:cs="Arial" w:eastAsia="Arial" w:hAnsi="Arial"/>
          <w:b/>
          <w:bCs/>
          <w:color w:val="1E7B34"/>
          <w:sz w:val="18"/>
          <w:szCs w:val="18"/>
        </w:rPr>
        <w:t xml:space="preserve">Completadas: 7     </w:t>
      </w:r>
      <w:r>
        <w:rPr>
          <w:rFonts w:ascii="Arial" w:cs="Arial" w:eastAsia="Arial" w:hAnsi="Arial"/>
          <w:b/>
          <w:bCs/>
          <w:color w:val="A05A00"/>
          <w:sz w:val="18"/>
          <w:szCs w:val="18"/>
        </w:rPr>
        <w:t xml:space="preserve">En proceso: 2     </w:t>
      </w:r>
      <w:r>
        <w:rPr>
          <w:rFonts w:ascii="Arial" w:cs="Arial" w:eastAsia="Arial" w:hAnsi="Arial"/>
          <w:b/>
          <w:bCs/>
          <w:color w:val="5F6368"/>
          <w:sz w:val="18"/>
          <w:szCs w:val="18"/>
        </w:rPr>
        <w:t xml:space="preserve">Pendientes: 6</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900"/>
        <w:gridCol w:w="3000"/>
        <w:gridCol w:w="3600"/>
        <w:gridCol w:w="1672"/>
      </w:tblGrid>
      <w:tr>
        <w:trPr>
          <w:tblHeader/>
        </w:trPr>
        <w:tc>
          <w:tcPr>
            <w:tcW w:type="dxa" w:w="800"/>
            <w:tcBorders>
              <w:top w:val="none" w:color="FFFFFF" w:sz="0"/>
              <w:left w:val="none" w:color="FFFFFF" w:sz="0"/>
              <w:bottom w:val="single" w:color="1D1D1F" w:sz="10"/>
              <w:right w:val="none" w:color="FFFFFF" w:sz="0"/>
            </w:tcBorders>
            <w:tcMar>
              <w:top w:type="dxa" w:w="70"/>
              <w:left w:type="dxa" w:w="100"/>
              <w:bottom w:type="dxa" w:w="70"/>
              <w:right w:type="dxa" w:w="100"/>
            </w:tcMar>
            <w:vAlign w:val="top"/>
          </w:tcPr>
          <w:p>
            <w:pPr>
              <w:jc w:val="left"/>
            </w:pPr>
            <w:r>
              <w:rPr>
                <w:rFonts w:ascii="Arial" w:cs="Arial" w:eastAsia="Arial" w:hAnsi="Arial"/>
                <w:b/>
                <w:bCs/>
                <w:caps/>
                <w:color w:val="5F6368"/>
                <w:sz w:val="16"/>
                <w:szCs w:val="16"/>
              </w:rPr>
              <w:t xml:space="preserve">Sem.</w:t>
            </w:r>
          </w:p>
        </w:tc>
        <w:tc>
          <w:tcPr>
            <w:tcW w:type="dxa" w:w="900"/>
            <w:tcBorders>
              <w:top w:val="none" w:color="FFFFFF" w:sz="0"/>
              <w:left w:val="none" w:color="FFFFFF" w:sz="0"/>
              <w:bottom w:val="single" w:color="1D1D1F" w:sz="10"/>
              <w:right w:val="none" w:color="FFFFFF" w:sz="0"/>
            </w:tcBorders>
            <w:tcMar>
              <w:top w:type="dxa" w:w="70"/>
              <w:left w:type="dxa" w:w="100"/>
              <w:bottom w:type="dxa" w:w="70"/>
              <w:right w:type="dxa" w:w="100"/>
            </w:tcMar>
            <w:vAlign w:val="top"/>
          </w:tcPr>
          <w:p>
            <w:pPr>
              <w:jc w:val="left"/>
            </w:pPr>
            <w:r>
              <w:rPr>
                <w:rFonts w:ascii="Arial" w:cs="Arial" w:eastAsia="Arial" w:hAnsi="Arial"/>
                <w:b/>
                <w:bCs/>
                <w:caps/>
                <w:color w:val="5F6368"/>
                <w:sz w:val="16"/>
                <w:szCs w:val="16"/>
              </w:rPr>
              <w:t xml:space="preserve">Fecha</w:t>
            </w:r>
          </w:p>
        </w:tc>
        <w:tc>
          <w:tcPr>
            <w:tcW w:type="dxa" w:w="3000"/>
            <w:tcBorders>
              <w:top w:val="none" w:color="FFFFFF" w:sz="0"/>
              <w:left w:val="none" w:color="FFFFFF" w:sz="0"/>
              <w:bottom w:val="single" w:color="1D1D1F" w:sz="10"/>
              <w:right w:val="none" w:color="FFFFFF" w:sz="0"/>
            </w:tcBorders>
            <w:tcMar>
              <w:top w:type="dxa" w:w="70"/>
              <w:left w:type="dxa" w:w="100"/>
              <w:bottom w:type="dxa" w:w="70"/>
              <w:right w:type="dxa" w:w="100"/>
            </w:tcMar>
            <w:vAlign w:val="top"/>
          </w:tcPr>
          <w:p>
            <w:pPr>
              <w:jc w:val="left"/>
            </w:pPr>
            <w:r>
              <w:rPr>
                <w:rFonts w:ascii="Arial" w:cs="Arial" w:eastAsia="Arial" w:hAnsi="Arial"/>
                <w:b/>
                <w:bCs/>
                <w:caps/>
                <w:color w:val="5F6368"/>
                <w:sz w:val="16"/>
                <w:szCs w:val="16"/>
              </w:rPr>
              <w:t xml:space="preserve">Tema del temario</w:t>
            </w:r>
          </w:p>
        </w:tc>
        <w:tc>
          <w:tcPr>
            <w:tcW w:type="dxa" w:w="3600"/>
            <w:tcBorders>
              <w:top w:val="none" w:color="FFFFFF" w:sz="0"/>
              <w:left w:val="none" w:color="FFFFFF" w:sz="0"/>
              <w:bottom w:val="single" w:color="1D1D1F" w:sz="10"/>
              <w:right w:val="none" w:color="FFFFFF" w:sz="0"/>
            </w:tcBorders>
            <w:tcMar>
              <w:top w:type="dxa" w:w="70"/>
              <w:left w:type="dxa" w:w="100"/>
              <w:bottom w:type="dxa" w:w="70"/>
              <w:right w:type="dxa" w:w="100"/>
            </w:tcMar>
            <w:vAlign w:val="top"/>
          </w:tcPr>
          <w:p>
            <w:pPr>
              <w:jc w:val="left"/>
            </w:pPr>
            <w:r>
              <w:rPr>
                <w:rFonts w:ascii="Arial" w:cs="Arial" w:eastAsia="Arial" w:hAnsi="Arial"/>
                <w:b/>
                <w:bCs/>
                <w:caps/>
                <w:color w:val="5F6368"/>
                <w:sz w:val="16"/>
                <w:szCs w:val="16"/>
              </w:rPr>
              <w:t xml:space="preserve">Actividad y entregable de OTLI</w:t>
            </w:r>
          </w:p>
        </w:tc>
        <w:tc>
          <w:tcPr>
            <w:tcW w:type="dxa" w:w="1672"/>
            <w:tcBorders>
              <w:top w:val="none" w:color="FFFFFF" w:sz="0"/>
              <w:left w:val="none" w:color="FFFFFF" w:sz="0"/>
              <w:bottom w:val="single" w:color="1D1D1F" w:sz="10"/>
              <w:right w:val="none" w:color="FFFFFF" w:sz="0"/>
            </w:tcBorders>
            <w:tcMar>
              <w:top w:type="dxa" w:w="70"/>
              <w:left w:type="dxa" w:w="100"/>
              <w:bottom w:type="dxa" w:w="70"/>
              <w:right w:type="dxa" w:w="100"/>
            </w:tcMar>
            <w:vAlign w:val="top"/>
          </w:tcPr>
          <w:p>
            <w:pPr>
              <w:jc w:val="left"/>
            </w:pPr>
            <w:r>
              <w:rPr>
                <w:rFonts w:ascii="Arial" w:cs="Arial" w:eastAsia="Arial" w:hAnsi="Arial"/>
                <w:b/>
                <w:bCs/>
                <w:caps/>
                <w:color w:val="5F6368"/>
                <w:sz w:val="16"/>
                <w:szCs w:val="16"/>
              </w:rPr>
              <w:t xml:space="preserve">Estado</w:t>
            </w:r>
          </w:p>
        </w:tc>
      </w:tr>
      <w:tr>
        <w:trPr>
          <w:cantSplit/>
        </w:trPr>
        <w:tc>
          <w:tcPr>
            <w:tcW w:type="dxa" w:w="8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b/>
                <w:bCs/>
                <w:sz w:val="19"/>
                <w:szCs w:val="19"/>
              </w:rPr>
              <w:t xml:space="preserve">1</w:t>
            </w:r>
          </w:p>
        </w:tc>
        <w:tc>
          <w:tcPr>
            <w:tcW w:type="dxa" w:w="9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color w:val="5F6368"/>
                <w:sz w:val="19"/>
                <w:szCs w:val="19"/>
              </w:rPr>
              <w:t xml:space="preserve">21 ago</w:t>
            </w:r>
          </w:p>
        </w:tc>
        <w:tc>
          <w:tcPr>
            <w:tcW w:type="dxa" w:w="30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sz w:val="19"/>
                <w:szCs w:val="19"/>
              </w:rPr>
              <w:t xml:space="preserve">Diagnóstico inicial, protección y registro de marca</w:t>
            </w:r>
          </w:p>
        </w:tc>
        <w:tc>
          <w:tcPr>
            <w:tcW w:type="dxa" w:w="36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sz w:val="19"/>
                <w:szCs w:val="19"/>
              </w:rPr>
              <w:t xml:space="preserve">Idea de negocio, propuesta de valor y definición de la marca OTLI / OLI</w:t>
            </w:r>
          </w:p>
        </w:tc>
        <w:tc>
          <w:tcPr>
            <w:tcW w:type="dxa" w:w="1672"/>
            <w:tcBorders>
              <w:top w:val="none" w:color="FFFFFF" w:sz="0"/>
              <w:left w:val="none" w:color="FFFFFF" w:sz="0"/>
              <w:bottom w:val="single" w:color="DADCE0" w:sz="4"/>
              <w:right w:val="none" w:color="FFFFFF" w:sz="0"/>
            </w:tcBorders>
            <w:shd w:fill="E6F4EA" w:color="auto" w:val="clear"/>
            <w:tcMar>
              <w:top w:type="dxa" w:w="70"/>
              <w:left w:type="dxa" w:w="100"/>
              <w:bottom w:type="dxa" w:w="70"/>
              <w:right w:type="dxa" w:w="100"/>
            </w:tcMar>
            <w:vAlign w:val="center"/>
          </w:tcPr>
          <w:p>
            <w:pPr>
              <w:jc w:val="center"/>
            </w:pPr>
            <w:r>
              <w:rPr>
                <w:rFonts w:ascii="Arial" w:cs="Arial" w:eastAsia="Arial" w:hAnsi="Arial"/>
                <w:b/>
                <w:bCs/>
                <w:color w:val="1E7B34"/>
                <w:sz w:val="16"/>
                <w:szCs w:val="16"/>
              </w:rPr>
              <w:t xml:space="preserve">Completada</w:t>
            </w:r>
          </w:p>
        </w:tc>
      </w:tr>
      <w:tr>
        <w:trPr>
          <w:cantSplit/>
        </w:trPr>
        <w:tc>
          <w:tcPr>
            <w:tcW w:type="dxa" w:w="8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b/>
                <w:bCs/>
                <w:sz w:val="19"/>
                <w:szCs w:val="19"/>
              </w:rPr>
              <w:t xml:space="preserve">2</w:t>
            </w:r>
          </w:p>
        </w:tc>
        <w:tc>
          <w:tcPr>
            <w:tcW w:type="dxa" w:w="9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color w:val="5F6368"/>
                <w:sz w:val="19"/>
                <w:szCs w:val="19"/>
              </w:rPr>
              <w:t xml:space="preserve">28 ago</w:t>
            </w:r>
          </w:p>
        </w:tc>
        <w:tc>
          <w:tcPr>
            <w:tcW w:type="dxa" w:w="30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sz w:val="19"/>
                <w:szCs w:val="19"/>
              </w:rPr>
              <w:t xml:space="preserve">Visión estratégica</w:t>
            </w:r>
          </w:p>
        </w:tc>
        <w:tc>
          <w:tcPr>
            <w:tcW w:type="dxa" w:w="36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sz w:val="19"/>
                <w:szCs w:val="19"/>
              </w:rPr>
              <w:t xml:space="preserve">Misión, visión, 5 valores, 6 objetivos, FODA y ventaja competitiva</w:t>
            </w:r>
          </w:p>
        </w:tc>
        <w:tc>
          <w:tcPr>
            <w:tcW w:type="dxa" w:w="1672"/>
            <w:tcBorders>
              <w:top w:val="none" w:color="FFFFFF" w:sz="0"/>
              <w:left w:val="none" w:color="FFFFFF" w:sz="0"/>
              <w:bottom w:val="single" w:color="DADCE0" w:sz="4"/>
              <w:right w:val="none" w:color="FFFFFF" w:sz="0"/>
            </w:tcBorders>
            <w:shd w:fill="E6F4EA" w:color="auto" w:val="clear"/>
            <w:tcMar>
              <w:top w:type="dxa" w:w="70"/>
              <w:left w:type="dxa" w:w="100"/>
              <w:bottom w:type="dxa" w:w="70"/>
              <w:right w:type="dxa" w:w="100"/>
            </w:tcMar>
            <w:vAlign w:val="center"/>
          </w:tcPr>
          <w:p>
            <w:pPr>
              <w:jc w:val="center"/>
            </w:pPr>
            <w:r>
              <w:rPr>
                <w:rFonts w:ascii="Arial" w:cs="Arial" w:eastAsia="Arial" w:hAnsi="Arial"/>
                <w:b/>
                <w:bCs/>
                <w:color w:val="1E7B34"/>
                <w:sz w:val="16"/>
                <w:szCs w:val="16"/>
              </w:rPr>
              <w:t xml:space="preserve">Completada</w:t>
            </w:r>
          </w:p>
        </w:tc>
      </w:tr>
      <w:tr>
        <w:trPr>
          <w:cantSplit/>
        </w:trPr>
        <w:tc>
          <w:tcPr>
            <w:tcW w:type="dxa" w:w="8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b/>
                <w:bCs/>
                <w:sz w:val="19"/>
                <w:szCs w:val="19"/>
              </w:rPr>
              <w:t xml:space="preserve">3</w:t>
            </w:r>
          </w:p>
        </w:tc>
        <w:tc>
          <w:tcPr>
            <w:tcW w:type="dxa" w:w="9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color w:val="5F6368"/>
                <w:sz w:val="19"/>
                <w:szCs w:val="19"/>
              </w:rPr>
              <w:t xml:space="preserve">04 sep</w:t>
            </w:r>
          </w:p>
        </w:tc>
        <w:tc>
          <w:tcPr>
            <w:tcW w:type="dxa" w:w="30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sz w:val="19"/>
                <w:szCs w:val="19"/>
              </w:rPr>
              <w:t xml:space="preserve">Plan de mercadotecnia: segmento de mercado y análisis de la demanda</w:t>
            </w:r>
          </w:p>
        </w:tc>
        <w:tc>
          <w:tcPr>
            <w:tcW w:type="dxa" w:w="36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sz w:val="19"/>
                <w:szCs w:val="19"/>
              </w:rPr>
              <w:t xml:space="preserve">Cliente ideal, buyer persona, segmentación y formulario de validación</w:t>
            </w:r>
          </w:p>
        </w:tc>
        <w:tc>
          <w:tcPr>
            <w:tcW w:type="dxa" w:w="1672"/>
            <w:tcBorders>
              <w:top w:val="none" w:color="FFFFFF" w:sz="0"/>
              <w:left w:val="none" w:color="FFFFFF" w:sz="0"/>
              <w:bottom w:val="single" w:color="DADCE0" w:sz="4"/>
              <w:right w:val="none" w:color="FFFFFF" w:sz="0"/>
            </w:tcBorders>
            <w:shd w:fill="E6F4EA" w:color="auto" w:val="clear"/>
            <w:tcMar>
              <w:top w:type="dxa" w:w="70"/>
              <w:left w:type="dxa" w:w="100"/>
              <w:bottom w:type="dxa" w:w="70"/>
              <w:right w:type="dxa" w:w="100"/>
            </w:tcMar>
            <w:vAlign w:val="center"/>
          </w:tcPr>
          <w:p>
            <w:pPr>
              <w:jc w:val="center"/>
            </w:pPr>
            <w:r>
              <w:rPr>
                <w:rFonts w:ascii="Arial" w:cs="Arial" w:eastAsia="Arial" w:hAnsi="Arial"/>
                <w:b/>
                <w:bCs/>
                <w:color w:val="1E7B34"/>
                <w:sz w:val="16"/>
                <w:szCs w:val="16"/>
              </w:rPr>
              <w:t xml:space="preserve">Completada</w:t>
            </w:r>
          </w:p>
        </w:tc>
      </w:tr>
      <w:tr>
        <w:trPr>
          <w:cantSplit/>
        </w:trPr>
        <w:tc>
          <w:tcPr>
            <w:tcW w:type="dxa" w:w="8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b/>
                <w:bCs/>
                <w:sz w:val="19"/>
                <w:szCs w:val="19"/>
              </w:rPr>
              <w:t xml:space="preserve">4</w:t>
            </w:r>
          </w:p>
        </w:tc>
        <w:tc>
          <w:tcPr>
            <w:tcW w:type="dxa" w:w="9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color w:val="5F6368"/>
                <w:sz w:val="19"/>
                <w:szCs w:val="19"/>
              </w:rPr>
              <w:t xml:space="preserve">11 sep</w:t>
            </w:r>
          </w:p>
        </w:tc>
        <w:tc>
          <w:tcPr>
            <w:tcW w:type="dxa" w:w="30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sz w:val="19"/>
                <w:szCs w:val="19"/>
              </w:rPr>
              <w:t xml:space="preserve">Plan de mercadotecnia: análisis de la oferta y competencia</w:t>
            </w:r>
          </w:p>
        </w:tc>
        <w:tc>
          <w:tcPr>
            <w:tcW w:type="dxa" w:w="36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sz w:val="19"/>
                <w:szCs w:val="19"/>
              </w:rPr>
              <w:t xml:space="preserve">Benchmark de 5 competidores en León; falta el análisis de la oferta</w:t>
            </w:r>
          </w:p>
        </w:tc>
        <w:tc>
          <w:tcPr>
            <w:tcW w:type="dxa" w:w="1672"/>
            <w:tcBorders>
              <w:top w:val="none" w:color="FFFFFF" w:sz="0"/>
              <w:left w:val="none" w:color="FFFFFF" w:sz="0"/>
              <w:bottom w:val="single" w:color="DADCE0" w:sz="4"/>
              <w:right w:val="none" w:color="FFFFFF" w:sz="0"/>
            </w:tcBorders>
            <w:shd w:fill="FEF3E0" w:color="auto" w:val="clear"/>
            <w:tcMar>
              <w:top w:type="dxa" w:w="70"/>
              <w:left w:type="dxa" w:w="100"/>
              <w:bottom w:type="dxa" w:w="70"/>
              <w:right w:type="dxa" w:w="100"/>
            </w:tcMar>
            <w:vAlign w:val="center"/>
          </w:tcPr>
          <w:p>
            <w:pPr>
              <w:jc w:val="center"/>
            </w:pPr>
            <w:r>
              <w:rPr>
                <w:rFonts w:ascii="Arial" w:cs="Arial" w:eastAsia="Arial" w:hAnsi="Arial"/>
                <w:b/>
                <w:bCs/>
                <w:color w:val="A05A00"/>
                <w:sz w:val="16"/>
                <w:szCs w:val="16"/>
              </w:rPr>
              <w:t xml:space="preserve">En proceso</w:t>
            </w:r>
          </w:p>
        </w:tc>
      </w:tr>
      <w:tr>
        <w:trPr>
          <w:cantSplit/>
        </w:trPr>
        <w:tc>
          <w:tcPr>
            <w:tcW w:type="dxa" w:w="8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b/>
                <w:bCs/>
                <w:sz w:val="19"/>
                <w:szCs w:val="19"/>
              </w:rPr>
              <w:t xml:space="preserve">5</w:t>
            </w:r>
          </w:p>
        </w:tc>
        <w:tc>
          <w:tcPr>
            <w:tcW w:type="dxa" w:w="9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color w:val="5F6368"/>
                <w:sz w:val="19"/>
                <w:szCs w:val="19"/>
              </w:rPr>
              <w:t xml:space="preserve">18 sep</w:t>
            </w:r>
          </w:p>
        </w:tc>
        <w:tc>
          <w:tcPr>
            <w:tcW w:type="dxa" w:w="30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sz w:val="19"/>
                <w:szCs w:val="19"/>
              </w:rPr>
              <w:t xml:space="preserve">Estrategia comercial y marketing digital</w:t>
            </w:r>
          </w:p>
        </w:tc>
        <w:tc>
          <w:tcPr>
            <w:tcW w:type="dxa" w:w="36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sz w:val="19"/>
                <w:szCs w:val="19"/>
              </w:rPr>
              <w:t xml:space="preserve">Anuncio de OLI y campaña en Meta Ads (30 días, $6,000 MXN)</w:t>
            </w:r>
          </w:p>
        </w:tc>
        <w:tc>
          <w:tcPr>
            <w:tcW w:type="dxa" w:w="1672"/>
            <w:tcBorders>
              <w:top w:val="none" w:color="FFFFFF" w:sz="0"/>
              <w:left w:val="none" w:color="FFFFFF" w:sz="0"/>
              <w:bottom w:val="single" w:color="DADCE0" w:sz="4"/>
              <w:right w:val="none" w:color="FFFFFF" w:sz="0"/>
            </w:tcBorders>
            <w:shd w:fill="E6F4EA" w:color="auto" w:val="clear"/>
            <w:tcMar>
              <w:top w:type="dxa" w:w="70"/>
              <w:left w:type="dxa" w:w="100"/>
              <w:bottom w:type="dxa" w:w="70"/>
              <w:right w:type="dxa" w:w="100"/>
            </w:tcMar>
            <w:vAlign w:val="center"/>
          </w:tcPr>
          <w:p>
            <w:pPr>
              <w:jc w:val="center"/>
            </w:pPr>
            <w:r>
              <w:rPr>
                <w:rFonts w:ascii="Arial" w:cs="Arial" w:eastAsia="Arial" w:hAnsi="Arial"/>
                <w:b/>
                <w:bCs/>
                <w:color w:val="1E7B34"/>
                <w:sz w:val="16"/>
                <w:szCs w:val="16"/>
              </w:rPr>
              <w:t xml:space="preserve">Completada</w:t>
            </w:r>
          </w:p>
        </w:tc>
      </w:tr>
      <w:tr>
        <w:trPr>
          <w:cantSplit/>
        </w:trPr>
        <w:tc>
          <w:tcPr>
            <w:tcW w:type="dxa" w:w="8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b/>
                <w:bCs/>
                <w:sz w:val="19"/>
                <w:szCs w:val="19"/>
              </w:rPr>
              <w:t xml:space="preserve">6</w:t>
            </w:r>
          </w:p>
        </w:tc>
        <w:tc>
          <w:tcPr>
            <w:tcW w:type="dxa" w:w="9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color w:val="5F6368"/>
                <w:sz w:val="19"/>
                <w:szCs w:val="19"/>
              </w:rPr>
              <w:t xml:space="preserve">25 sep</w:t>
            </w:r>
          </w:p>
        </w:tc>
        <w:tc>
          <w:tcPr>
            <w:tcW w:type="dxa" w:w="30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sz w:val="19"/>
                <w:szCs w:val="19"/>
              </w:rPr>
              <w:t xml:space="preserve">Procesos clave y mejora operativa</w:t>
            </w:r>
          </w:p>
        </w:tc>
        <w:tc>
          <w:tcPr>
            <w:tcW w:type="dxa" w:w="36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sz w:val="19"/>
                <w:szCs w:val="19"/>
              </w:rPr>
              <w:t xml:space="preserve">Mapeo de procesos clave y estructura organizacional de OTLI</w:t>
            </w:r>
          </w:p>
        </w:tc>
        <w:tc>
          <w:tcPr>
            <w:tcW w:type="dxa" w:w="1672"/>
            <w:tcBorders>
              <w:top w:val="none" w:color="FFFFFF" w:sz="0"/>
              <w:left w:val="none" w:color="FFFFFF" w:sz="0"/>
              <w:bottom w:val="single" w:color="DADCE0" w:sz="4"/>
              <w:right w:val="none" w:color="FFFFFF" w:sz="0"/>
            </w:tcBorders>
            <w:shd w:fill="FEF3E0" w:color="auto" w:val="clear"/>
            <w:tcMar>
              <w:top w:type="dxa" w:w="70"/>
              <w:left w:type="dxa" w:w="100"/>
              <w:bottom w:type="dxa" w:w="70"/>
              <w:right w:type="dxa" w:w="100"/>
            </w:tcMar>
            <w:vAlign w:val="center"/>
          </w:tcPr>
          <w:p>
            <w:pPr>
              <w:jc w:val="center"/>
            </w:pPr>
            <w:r>
              <w:rPr>
                <w:rFonts w:ascii="Arial" w:cs="Arial" w:eastAsia="Arial" w:hAnsi="Arial"/>
                <w:b/>
                <w:bCs/>
                <w:color w:val="A05A00"/>
                <w:sz w:val="16"/>
                <w:szCs w:val="16"/>
              </w:rPr>
              <w:t xml:space="preserve">En proceso</w:t>
            </w:r>
          </w:p>
        </w:tc>
      </w:tr>
      <w:tr>
        <w:trPr>
          <w:cantSplit/>
        </w:trPr>
        <w:tc>
          <w:tcPr>
            <w:tcW w:type="dxa" w:w="8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b/>
                <w:bCs/>
                <w:sz w:val="19"/>
                <w:szCs w:val="19"/>
              </w:rPr>
              <w:t xml:space="preserve">7</w:t>
            </w:r>
          </w:p>
        </w:tc>
        <w:tc>
          <w:tcPr>
            <w:tcW w:type="dxa" w:w="9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color w:val="5F6368"/>
                <w:sz w:val="19"/>
                <w:szCs w:val="19"/>
              </w:rPr>
              <w:t xml:space="preserve">02 oct</w:t>
            </w:r>
          </w:p>
        </w:tc>
        <w:tc>
          <w:tcPr>
            <w:tcW w:type="dxa" w:w="30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sz w:val="19"/>
                <w:szCs w:val="19"/>
              </w:rPr>
              <w:t xml:space="preserve">Diagnóstico financiero y estructura de costos</w:t>
            </w:r>
          </w:p>
        </w:tc>
        <w:tc>
          <w:tcPr>
            <w:tcW w:type="dxa" w:w="36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sz w:val="19"/>
                <w:szCs w:val="19"/>
              </w:rPr>
              <w:t xml:space="preserve">Costos y márgenes mensuales por cliente en 3 planes</w:t>
            </w:r>
          </w:p>
        </w:tc>
        <w:tc>
          <w:tcPr>
            <w:tcW w:type="dxa" w:w="1672"/>
            <w:tcBorders>
              <w:top w:val="none" w:color="FFFFFF" w:sz="0"/>
              <w:left w:val="none" w:color="FFFFFF" w:sz="0"/>
              <w:bottom w:val="single" w:color="DADCE0" w:sz="4"/>
              <w:right w:val="none" w:color="FFFFFF" w:sz="0"/>
            </w:tcBorders>
            <w:shd w:fill="E6F4EA" w:color="auto" w:val="clear"/>
            <w:tcMar>
              <w:top w:type="dxa" w:w="70"/>
              <w:left w:type="dxa" w:w="100"/>
              <w:bottom w:type="dxa" w:w="70"/>
              <w:right w:type="dxa" w:w="100"/>
            </w:tcMar>
            <w:vAlign w:val="center"/>
          </w:tcPr>
          <w:p>
            <w:pPr>
              <w:jc w:val="center"/>
            </w:pPr>
            <w:r>
              <w:rPr>
                <w:rFonts w:ascii="Arial" w:cs="Arial" w:eastAsia="Arial" w:hAnsi="Arial"/>
                <w:b/>
                <w:bCs/>
                <w:color w:val="1E7B34"/>
                <w:sz w:val="16"/>
                <w:szCs w:val="16"/>
              </w:rPr>
              <w:t xml:space="preserve">Completada</w:t>
            </w:r>
          </w:p>
        </w:tc>
      </w:tr>
      <w:tr>
        <w:trPr>
          <w:cantSplit/>
        </w:trPr>
        <w:tc>
          <w:tcPr>
            <w:tcW w:type="dxa" w:w="8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b/>
                <w:bCs/>
                <w:sz w:val="19"/>
                <w:szCs w:val="19"/>
              </w:rPr>
              <w:t xml:space="preserve">8</w:t>
            </w:r>
          </w:p>
        </w:tc>
        <w:tc>
          <w:tcPr>
            <w:tcW w:type="dxa" w:w="9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color w:val="5F6368"/>
                <w:sz w:val="19"/>
                <w:szCs w:val="19"/>
              </w:rPr>
              <w:t xml:space="preserve">09 oct</w:t>
            </w:r>
          </w:p>
        </w:tc>
        <w:tc>
          <w:tcPr>
            <w:tcW w:type="dxa" w:w="30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sz w:val="19"/>
                <w:szCs w:val="19"/>
              </w:rPr>
              <w:t xml:space="preserve">Financiamiento y vinculación</w:t>
            </w:r>
          </w:p>
        </w:tc>
        <w:tc>
          <w:tcPr>
            <w:tcW w:type="dxa" w:w="36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sz w:val="19"/>
                <w:szCs w:val="19"/>
              </w:rPr>
              <w:t xml:space="preserve">Plataforma financiera y proyecciones de ventas del plan de negocios</w:t>
            </w:r>
          </w:p>
        </w:tc>
        <w:tc>
          <w:tcPr>
            <w:tcW w:type="dxa" w:w="1672"/>
            <w:tcBorders>
              <w:top w:val="none" w:color="FFFFFF" w:sz="0"/>
              <w:left w:val="none" w:color="FFFFFF" w:sz="0"/>
              <w:bottom w:val="single" w:color="DADCE0" w:sz="4"/>
              <w:right w:val="none" w:color="FFFFFF" w:sz="0"/>
            </w:tcBorders>
            <w:shd w:fill="E6F4EA" w:color="auto" w:val="clear"/>
            <w:tcMar>
              <w:top w:type="dxa" w:w="70"/>
              <w:left w:type="dxa" w:w="100"/>
              <w:bottom w:type="dxa" w:w="70"/>
              <w:right w:type="dxa" w:w="100"/>
            </w:tcMar>
            <w:vAlign w:val="center"/>
          </w:tcPr>
          <w:p>
            <w:pPr>
              <w:jc w:val="center"/>
            </w:pPr>
            <w:r>
              <w:rPr>
                <w:rFonts w:ascii="Arial" w:cs="Arial" w:eastAsia="Arial" w:hAnsi="Arial"/>
                <w:b/>
                <w:bCs/>
                <w:color w:val="1E7B34"/>
                <w:sz w:val="16"/>
                <w:szCs w:val="16"/>
              </w:rPr>
              <w:t xml:space="preserve">Completada</w:t>
            </w:r>
          </w:p>
        </w:tc>
      </w:tr>
      <w:tr>
        <w:trPr>
          <w:cantSplit/>
        </w:trPr>
        <w:tc>
          <w:tcPr>
            <w:tcW w:type="dxa" w:w="8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b/>
                <w:bCs/>
                <w:sz w:val="19"/>
                <w:szCs w:val="19"/>
              </w:rPr>
              <w:t xml:space="preserve">9</w:t>
            </w:r>
          </w:p>
        </w:tc>
        <w:tc>
          <w:tcPr>
            <w:tcW w:type="dxa" w:w="9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color w:val="5F6368"/>
                <w:sz w:val="19"/>
                <w:szCs w:val="19"/>
              </w:rPr>
              <w:t xml:space="preserve">16 oct</w:t>
            </w:r>
          </w:p>
        </w:tc>
        <w:tc>
          <w:tcPr>
            <w:tcW w:type="dxa" w:w="30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sz w:val="19"/>
                <w:szCs w:val="19"/>
              </w:rPr>
              <w:t xml:space="preserve">Pitch y narrativa empresarial</w:t>
            </w:r>
          </w:p>
        </w:tc>
        <w:tc>
          <w:tcPr>
            <w:tcW w:type="dxa" w:w="36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sz w:val="19"/>
                <w:szCs w:val="19"/>
              </w:rPr>
              <w:t xml:space="preserve">Pitch de 30 segundos</w:t>
            </w:r>
          </w:p>
        </w:tc>
        <w:tc>
          <w:tcPr>
            <w:tcW w:type="dxa" w:w="1672"/>
            <w:tcBorders>
              <w:top w:val="none" w:color="FFFFFF" w:sz="0"/>
              <w:left w:val="none" w:color="FFFFFF" w:sz="0"/>
              <w:bottom w:val="single" w:color="DADCE0" w:sz="4"/>
              <w:right w:val="none" w:color="FFFFFF" w:sz="0"/>
            </w:tcBorders>
            <w:shd w:fill="E6F4EA" w:color="auto" w:val="clear"/>
            <w:tcMar>
              <w:top w:type="dxa" w:w="70"/>
              <w:left w:type="dxa" w:w="100"/>
              <w:bottom w:type="dxa" w:w="70"/>
              <w:right w:type="dxa" w:w="100"/>
            </w:tcMar>
            <w:vAlign w:val="center"/>
          </w:tcPr>
          <w:p>
            <w:pPr>
              <w:jc w:val="center"/>
            </w:pPr>
            <w:r>
              <w:rPr>
                <w:rFonts w:ascii="Arial" w:cs="Arial" w:eastAsia="Arial" w:hAnsi="Arial"/>
                <w:b/>
                <w:bCs/>
                <w:color w:val="1E7B34"/>
                <w:sz w:val="16"/>
                <w:szCs w:val="16"/>
              </w:rPr>
              <w:t xml:space="preserve">Completada</w:t>
            </w:r>
          </w:p>
        </w:tc>
      </w:tr>
      <w:tr>
        <w:trPr>
          <w:cantSplit/>
        </w:trPr>
        <w:tc>
          <w:tcPr>
            <w:tcW w:type="dxa" w:w="8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b/>
                <w:bCs/>
                <w:sz w:val="19"/>
                <w:szCs w:val="19"/>
              </w:rPr>
              <w:t xml:space="preserve">10</w:t>
            </w:r>
          </w:p>
        </w:tc>
        <w:tc>
          <w:tcPr>
            <w:tcW w:type="dxa" w:w="9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color w:val="5F6368"/>
                <w:sz w:val="19"/>
                <w:szCs w:val="19"/>
              </w:rPr>
              <w:t xml:space="preserve">23 oct</w:t>
            </w:r>
          </w:p>
        </w:tc>
        <w:tc>
          <w:tcPr>
            <w:tcW w:type="dxa" w:w="30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sz w:val="19"/>
                <w:szCs w:val="19"/>
              </w:rPr>
              <w:t xml:space="preserve">Segunda parte: segmento de mercado</w:t>
            </w:r>
          </w:p>
        </w:tc>
        <w:tc>
          <w:tcPr>
            <w:tcW w:type="dxa" w:w="36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sz w:val="19"/>
                <w:szCs w:val="19"/>
              </w:rPr>
              <w:t xml:space="preserve">Análisis de las respuestas del formulario y ajuste del segmento</w:t>
            </w:r>
          </w:p>
        </w:tc>
        <w:tc>
          <w:tcPr>
            <w:tcW w:type="dxa" w:w="1672"/>
            <w:tcBorders>
              <w:top w:val="none" w:color="FFFFFF" w:sz="0"/>
              <w:left w:val="none" w:color="FFFFFF" w:sz="0"/>
              <w:bottom w:val="single" w:color="DADCE0" w:sz="4"/>
              <w:right w:val="none" w:color="FFFFFF" w:sz="0"/>
            </w:tcBorders>
            <w:shd w:fill="EEF0F2" w:color="auto" w:val="clear"/>
            <w:tcMar>
              <w:top w:type="dxa" w:w="70"/>
              <w:left w:type="dxa" w:w="100"/>
              <w:bottom w:type="dxa" w:w="70"/>
              <w:right w:type="dxa" w:w="100"/>
            </w:tcMar>
            <w:vAlign w:val="center"/>
          </w:tcPr>
          <w:p>
            <w:pPr>
              <w:jc w:val="center"/>
            </w:pPr>
            <w:r>
              <w:rPr>
                <w:rFonts w:ascii="Arial" w:cs="Arial" w:eastAsia="Arial" w:hAnsi="Arial"/>
                <w:b/>
                <w:bCs/>
                <w:color w:val="5F6368"/>
                <w:sz w:val="16"/>
                <w:szCs w:val="16"/>
              </w:rPr>
              <w:t xml:space="preserve">Pendiente</w:t>
            </w:r>
          </w:p>
        </w:tc>
      </w:tr>
      <w:tr>
        <w:trPr>
          <w:cantSplit/>
        </w:trPr>
        <w:tc>
          <w:tcPr>
            <w:tcW w:type="dxa" w:w="8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b/>
                <w:bCs/>
                <w:sz w:val="19"/>
                <w:szCs w:val="19"/>
              </w:rPr>
              <w:t xml:space="preserve">11</w:t>
            </w:r>
          </w:p>
        </w:tc>
        <w:tc>
          <w:tcPr>
            <w:tcW w:type="dxa" w:w="9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color w:val="5F6368"/>
                <w:sz w:val="19"/>
                <w:szCs w:val="19"/>
              </w:rPr>
              <w:t xml:space="preserve">30 oct</w:t>
            </w:r>
          </w:p>
        </w:tc>
        <w:tc>
          <w:tcPr>
            <w:tcW w:type="dxa" w:w="30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sz w:val="19"/>
                <w:szCs w:val="19"/>
              </w:rPr>
              <w:t xml:space="preserve">Semana libre: ajustes y asesoría 1:1</w:t>
            </w:r>
          </w:p>
        </w:tc>
        <w:tc>
          <w:tcPr>
            <w:tcW w:type="dxa" w:w="36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sz w:val="19"/>
                <w:szCs w:val="19"/>
              </w:rPr>
              <w:t xml:space="preserve">Cierre del análisis de la oferta</w:t>
            </w:r>
          </w:p>
        </w:tc>
        <w:tc>
          <w:tcPr>
            <w:tcW w:type="dxa" w:w="1672"/>
            <w:tcBorders>
              <w:top w:val="none" w:color="FFFFFF" w:sz="0"/>
              <w:left w:val="none" w:color="FFFFFF" w:sz="0"/>
              <w:bottom w:val="single" w:color="DADCE0" w:sz="4"/>
              <w:right w:val="none" w:color="FFFFFF" w:sz="0"/>
            </w:tcBorders>
            <w:shd w:fill="EEF0F2" w:color="auto" w:val="clear"/>
            <w:tcMar>
              <w:top w:type="dxa" w:w="70"/>
              <w:left w:type="dxa" w:w="100"/>
              <w:bottom w:type="dxa" w:w="70"/>
              <w:right w:type="dxa" w:w="100"/>
            </w:tcMar>
            <w:vAlign w:val="center"/>
          </w:tcPr>
          <w:p>
            <w:pPr>
              <w:jc w:val="center"/>
            </w:pPr>
            <w:r>
              <w:rPr>
                <w:rFonts w:ascii="Arial" w:cs="Arial" w:eastAsia="Arial" w:hAnsi="Arial"/>
                <w:b/>
                <w:bCs/>
                <w:color w:val="5F6368"/>
                <w:sz w:val="16"/>
                <w:szCs w:val="16"/>
              </w:rPr>
              <w:t xml:space="preserve">Pendiente</w:t>
            </w:r>
          </w:p>
        </w:tc>
      </w:tr>
      <w:tr>
        <w:trPr>
          <w:cantSplit/>
        </w:trPr>
        <w:tc>
          <w:tcPr>
            <w:tcW w:type="dxa" w:w="8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b/>
                <w:bCs/>
                <w:sz w:val="19"/>
                <w:szCs w:val="19"/>
              </w:rPr>
              <w:t xml:space="preserve">12</w:t>
            </w:r>
          </w:p>
        </w:tc>
        <w:tc>
          <w:tcPr>
            <w:tcW w:type="dxa" w:w="9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color w:val="5F6368"/>
                <w:sz w:val="19"/>
                <w:szCs w:val="19"/>
              </w:rPr>
              <w:t xml:space="preserve">06 nov</w:t>
            </w:r>
          </w:p>
        </w:tc>
        <w:tc>
          <w:tcPr>
            <w:tcW w:type="dxa" w:w="30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sz w:val="19"/>
                <w:szCs w:val="19"/>
              </w:rPr>
              <w:t xml:space="preserve">Semana libre: ajustes y asesoría 1:1</w:t>
            </w:r>
          </w:p>
        </w:tc>
        <w:tc>
          <w:tcPr>
            <w:tcW w:type="dxa" w:w="36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sz w:val="19"/>
                <w:szCs w:val="19"/>
              </w:rPr>
              <w:t xml:space="preserve">Revisión del plan de negocios con asesoría 1:1</w:t>
            </w:r>
          </w:p>
        </w:tc>
        <w:tc>
          <w:tcPr>
            <w:tcW w:type="dxa" w:w="1672"/>
            <w:tcBorders>
              <w:top w:val="none" w:color="FFFFFF" w:sz="0"/>
              <w:left w:val="none" w:color="FFFFFF" w:sz="0"/>
              <w:bottom w:val="single" w:color="DADCE0" w:sz="4"/>
              <w:right w:val="none" w:color="FFFFFF" w:sz="0"/>
            </w:tcBorders>
            <w:shd w:fill="EEF0F2" w:color="auto" w:val="clear"/>
            <w:tcMar>
              <w:top w:type="dxa" w:w="70"/>
              <w:left w:type="dxa" w:w="100"/>
              <w:bottom w:type="dxa" w:w="70"/>
              <w:right w:type="dxa" w:w="100"/>
            </w:tcMar>
            <w:vAlign w:val="center"/>
          </w:tcPr>
          <w:p>
            <w:pPr>
              <w:jc w:val="center"/>
            </w:pPr>
            <w:r>
              <w:rPr>
                <w:rFonts w:ascii="Arial" w:cs="Arial" w:eastAsia="Arial" w:hAnsi="Arial"/>
                <w:b/>
                <w:bCs/>
                <w:color w:val="5F6368"/>
                <w:sz w:val="16"/>
                <w:szCs w:val="16"/>
              </w:rPr>
              <w:t xml:space="preserve">Pendiente</w:t>
            </w:r>
          </w:p>
        </w:tc>
      </w:tr>
      <w:tr>
        <w:trPr>
          <w:cantSplit/>
        </w:trPr>
        <w:tc>
          <w:tcPr>
            <w:tcW w:type="dxa" w:w="8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b/>
                <w:bCs/>
                <w:sz w:val="19"/>
                <w:szCs w:val="19"/>
              </w:rPr>
              <w:t xml:space="preserve">13</w:t>
            </w:r>
          </w:p>
        </w:tc>
        <w:tc>
          <w:tcPr>
            <w:tcW w:type="dxa" w:w="9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color w:val="5F6368"/>
                <w:sz w:val="19"/>
                <w:szCs w:val="19"/>
              </w:rPr>
              <w:t xml:space="preserve">13 nov</w:t>
            </w:r>
          </w:p>
        </w:tc>
        <w:tc>
          <w:tcPr>
            <w:tcW w:type="dxa" w:w="30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sz w:val="19"/>
                <w:szCs w:val="19"/>
              </w:rPr>
              <w:t xml:space="preserve">Documento final y presentación ante el comité</w:t>
            </w:r>
          </w:p>
        </w:tc>
        <w:tc>
          <w:tcPr>
            <w:tcW w:type="dxa" w:w="36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sz w:val="19"/>
                <w:szCs w:val="19"/>
              </w:rPr>
              <w:t xml:space="preserve">Plan de negocios integrado</w:t>
            </w:r>
          </w:p>
        </w:tc>
        <w:tc>
          <w:tcPr>
            <w:tcW w:type="dxa" w:w="1672"/>
            <w:tcBorders>
              <w:top w:val="none" w:color="FFFFFF" w:sz="0"/>
              <w:left w:val="none" w:color="FFFFFF" w:sz="0"/>
              <w:bottom w:val="single" w:color="DADCE0" w:sz="4"/>
              <w:right w:val="none" w:color="FFFFFF" w:sz="0"/>
            </w:tcBorders>
            <w:shd w:fill="EEF0F2" w:color="auto" w:val="clear"/>
            <w:tcMar>
              <w:top w:type="dxa" w:w="70"/>
              <w:left w:type="dxa" w:w="100"/>
              <w:bottom w:type="dxa" w:w="70"/>
              <w:right w:type="dxa" w:w="100"/>
            </w:tcMar>
            <w:vAlign w:val="center"/>
          </w:tcPr>
          <w:p>
            <w:pPr>
              <w:jc w:val="center"/>
            </w:pPr>
            <w:r>
              <w:rPr>
                <w:rFonts w:ascii="Arial" w:cs="Arial" w:eastAsia="Arial" w:hAnsi="Arial"/>
                <w:b/>
                <w:bCs/>
                <w:color w:val="5F6368"/>
                <w:sz w:val="16"/>
                <w:szCs w:val="16"/>
              </w:rPr>
              <w:t xml:space="preserve">Pendiente</w:t>
            </w:r>
          </w:p>
        </w:tc>
      </w:tr>
      <w:tr>
        <w:trPr>
          <w:cantSplit/>
        </w:trPr>
        <w:tc>
          <w:tcPr>
            <w:tcW w:type="dxa" w:w="8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b/>
                <w:bCs/>
                <w:sz w:val="19"/>
                <w:szCs w:val="19"/>
              </w:rPr>
              <w:t xml:space="preserve">14</w:t>
            </w:r>
          </w:p>
        </w:tc>
        <w:tc>
          <w:tcPr>
            <w:tcW w:type="dxa" w:w="9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color w:val="5F6368"/>
                <w:sz w:val="19"/>
                <w:szCs w:val="19"/>
              </w:rPr>
              <w:t xml:space="preserve">20 nov</w:t>
            </w:r>
          </w:p>
        </w:tc>
        <w:tc>
          <w:tcPr>
            <w:tcW w:type="dxa" w:w="30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sz w:val="19"/>
                <w:szCs w:val="19"/>
              </w:rPr>
              <w:t xml:space="preserve">Presentación final</w:t>
            </w:r>
          </w:p>
        </w:tc>
        <w:tc>
          <w:tcPr>
            <w:tcW w:type="dxa" w:w="36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sz w:val="19"/>
                <w:szCs w:val="19"/>
              </w:rPr>
              <w:t xml:space="preserve">Presentación de OTLI</w:t>
            </w:r>
          </w:p>
        </w:tc>
        <w:tc>
          <w:tcPr>
            <w:tcW w:type="dxa" w:w="1672"/>
            <w:tcBorders>
              <w:top w:val="none" w:color="FFFFFF" w:sz="0"/>
              <w:left w:val="none" w:color="FFFFFF" w:sz="0"/>
              <w:bottom w:val="single" w:color="DADCE0" w:sz="4"/>
              <w:right w:val="none" w:color="FFFFFF" w:sz="0"/>
            </w:tcBorders>
            <w:shd w:fill="EEF0F2" w:color="auto" w:val="clear"/>
            <w:tcMar>
              <w:top w:type="dxa" w:w="70"/>
              <w:left w:type="dxa" w:w="100"/>
              <w:bottom w:type="dxa" w:w="70"/>
              <w:right w:type="dxa" w:w="100"/>
            </w:tcMar>
            <w:vAlign w:val="center"/>
          </w:tcPr>
          <w:p>
            <w:pPr>
              <w:jc w:val="center"/>
            </w:pPr>
            <w:r>
              <w:rPr>
                <w:rFonts w:ascii="Arial" w:cs="Arial" w:eastAsia="Arial" w:hAnsi="Arial"/>
                <w:b/>
                <w:bCs/>
                <w:color w:val="5F6368"/>
                <w:sz w:val="16"/>
                <w:szCs w:val="16"/>
              </w:rPr>
              <w:t xml:space="preserve">Pendiente</w:t>
            </w:r>
          </w:p>
        </w:tc>
      </w:tr>
      <w:tr>
        <w:trPr>
          <w:cantSplit/>
        </w:trPr>
        <w:tc>
          <w:tcPr>
            <w:tcW w:type="dxa" w:w="8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b/>
                <w:bCs/>
                <w:sz w:val="19"/>
                <w:szCs w:val="19"/>
              </w:rPr>
              <w:t xml:space="preserve">15</w:t>
            </w:r>
          </w:p>
        </w:tc>
        <w:tc>
          <w:tcPr>
            <w:tcW w:type="dxa" w:w="9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color w:val="5F6368"/>
                <w:sz w:val="19"/>
                <w:szCs w:val="19"/>
              </w:rPr>
              <w:t xml:space="preserve">25 nov</w:t>
            </w:r>
          </w:p>
        </w:tc>
        <w:tc>
          <w:tcPr>
            <w:tcW w:type="dxa" w:w="30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sz w:val="19"/>
                <w:szCs w:val="19"/>
              </w:rPr>
              <w:t xml:space="preserve">Entrega de carta de término</w:t>
            </w:r>
          </w:p>
        </w:tc>
        <w:tc>
          <w:tcPr>
            <w:tcW w:type="dxa" w:w="36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sz w:val="19"/>
                <w:szCs w:val="19"/>
              </w:rPr>
              <w:t xml:space="preserve">Carta de término</w:t>
            </w:r>
          </w:p>
        </w:tc>
        <w:tc>
          <w:tcPr>
            <w:tcW w:type="dxa" w:w="1672"/>
            <w:tcBorders>
              <w:top w:val="none" w:color="FFFFFF" w:sz="0"/>
              <w:left w:val="none" w:color="FFFFFF" w:sz="0"/>
              <w:bottom w:val="single" w:color="DADCE0" w:sz="4"/>
              <w:right w:val="none" w:color="FFFFFF" w:sz="0"/>
            </w:tcBorders>
            <w:shd w:fill="EEF0F2" w:color="auto" w:val="clear"/>
            <w:tcMar>
              <w:top w:type="dxa" w:w="70"/>
              <w:left w:type="dxa" w:w="100"/>
              <w:bottom w:type="dxa" w:w="70"/>
              <w:right w:type="dxa" w:w="100"/>
            </w:tcMar>
            <w:vAlign w:val="center"/>
          </w:tcPr>
          <w:p>
            <w:pPr>
              <w:jc w:val="center"/>
            </w:pPr>
            <w:r>
              <w:rPr>
                <w:rFonts w:ascii="Arial" w:cs="Arial" w:eastAsia="Arial" w:hAnsi="Arial"/>
                <w:b/>
                <w:bCs/>
                <w:color w:val="5F6368"/>
                <w:sz w:val="16"/>
                <w:szCs w:val="16"/>
              </w:rPr>
              <w:t xml:space="preserve">Pendiente</w:t>
            </w:r>
          </w:p>
        </w:tc>
      </w:tr>
    </w:tbl>
    <w:p>
      <w:pPr>
        <w:keepNext/>
        <w:spacing w:after="100" w:before="240"/>
      </w:pPr>
      <w:r>
        <w:rPr>
          <w:rFonts w:ascii="Arial" w:cs="Arial" w:eastAsia="Arial" w:hAnsi="Arial"/>
          <w:b/>
          <w:bCs/>
          <w:sz w:val="23"/>
          <w:szCs w:val="23"/>
        </w:rPr>
        <w:t xml:space="preserve">Ajustes al plan definido en el Reporte inicial</w:t>
      </w:r>
    </w:p>
    <w:p>
      <w:pPr>
        <w:pStyle w:val="ListParagraph"/>
        <w:numPr>
          <w:ilvl w:val="0"/>
          <w:numId w:val="2"/>
        </w:numPr>
        <w:spacing w:after="100" w:line="290"/>
      </w:pPr>
      <w:r>
        <w:rPr>
          <w:rFonts w:ascii="Arial" w:cs="Arial" w:eastAsia="Arial" w:hAnsi="Arial"/>
          <w:b/>
          <w:bCs/>
          <w:sz w:val="21"/>
          <w:szCs w:val="21"/>
        </w:rPr>
        <w:t xml:space="preserve">Reprogramación del análisis de la oferta. </w:t>
      </w:r>
      <w:r>
        <w:rPr>
          <w:rFonts w:ascii="Arial" w:cs="Arial" w:eastAsia="Arial" w:hAnsi="Arial"/>
          <w:sz w:val="21"/>
          <w:szCs w:val="21"/>
        </w:rPr>
        <w:t xml:space="preserve">El análisis de la oferta (semana 4) se cerrará en la semana libre 11, prevista por el temario para ajustes y asesoría 1:1.</w:t>
      </w:r>
    </w:p>
    <w:p>
      <w:pPr>
        <w:pStyle w:val="ListParagraph"/>
        <w:numPr>
          <w:ilvl w:val="0"/>
          <w:numId w:val="2"/>
        </w:numPr>
        <w:spacing w:after="100" w:line="290"/>
      </w:pPr>
      <w:r>
        <w:rPr>
          <w:rFonts w:ascii="Arial" w:cs="Arial" w:eastAsia="Arial" w:hAnsi="Arial"/>
          <w:b/>
          <w:bCs/>
          <w:sz w:val="21"/>
          <w:szCs w:val="21"/>
        </w:rPr>
        <w:t xml:space="preserve">Campaña de validación en Meta Ads. </w:t>
      </w:r>
      <w:r>
        <w:rPr>
          <w:rFonts w:ascii="Arial" w:cs="Arial" w:eastAsia="Arial" w:hAnsi="Arial"/>
          <w:sz w:val="21"/>
          <w:szCs w:val="21"/>
        </w:rPr>
        <w:t xml:space="preserve">Se integró una campaña de 30 días con 3 anuncios y $6,000 MXN de pauta. Su fin es medir el interés de las PYMES de León antes de contratar una agencia de marketing.</w:t>
      </w:r>
    </w:p>
    <w:p>
      <w:pPr>
        <w:pStyle w:val="ListParagraph"/>
        <w:numPr>
          <w:ilvl w:val="0"/>
          <w:numId w:val="2"/>
        </w:numPr>
        <w:spacing w:after="100" w:line="290"/>
      </w:pPr>
      <w:r>
        <w:rPr>
          <w:rFonts w:ascii="Arial" w:cs="Arial" w:eastAsia="Arial" w:hAnsi="Arial"/>
          <w:b/>
          <w:bCs/>
          <w:sz w:val="21"/>
          <w:szCs w:val="21"/>
        </w:rPr>
        <w:t xml:space="preserve">Costos antes que proyecciones. </w:t>
      </w:r>
      <w:r>
        <w:rPr>
          <w:rFonts w:ascii="Arial" w:cs="Arial" w:eastAsia="Arial" w:hAnsi="Arial"/>
          <w:sz w:val="21"/>
          <w:szCs w:val="21"/>
        </w:rPr>
        <w:t xml:space="preserve">Se calculó primero el costo por cliente de cada plan para fijar precios con márgenes reales y después construir las proyecciones sobre esa base.</w:t>
      </w:r>
    </w:p>
    <w:p>
      <w:pPr>
        <w:keepNext/>
        <w:spacing w:after="100" w:before="240"/>
      </w:pPr>
      <w:r>
        <w:rPr>
          <w:rFonts w:ascii="Arial" w:cs="Arial" w:eastAsia="Arial" w:hAnsi="Arial"/>
          <w:b/>
          <w:bCs/>
          <w:sz w:val="23"/>
          <w:szCs w:val="23"/>
        </w:rPr>
        <w:t xml:space="preserve">Resultados clave a la fecha</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2000"/>
        <w:gridCol w:w="2000"/>
        <w:gridCol w:w="2272"/>
      </w:tblGrid>
      <w:tr>
        <w:trPr>
          <w:tblHeader/>
        </w:trPr>
        <w:tc>
          <w:tcPr>
            <w:tcW w:type="dxa" w:w="3700"/>
            <w:tcBorders>
              <w:top w:val="none" w:color="FFFFFF" w:sz="0"/>
              <w:left w:val="none" w:color="FFFFFF" w:sz="0"/>
              <w:bottom w:val="single" w:color="1D1D1F" w:sz="10"/>
              <w:right w:val="none" w:color="FFFFFF" w:sz="0"/>
            </w:tcBorders>
            <w:tcMar>
              <w:top w:type="dxa" w:w="70"/>
              <w:left w:type="dxa" w:w="100"/>
              <w:bottom w:type="dxa" w:w="70"/>
              <w:right w:type="dxa" w:w="100"/>
            </w:tcMar>
            <w:vAlign w:val="top"/>
          </w:tcPr>
          <w:p>
            <w:pPr>
              <w:jc w:val="left"/>
            </w:pPr>
            <w:r>
              <w:rPr>
                <w:rFonts w:ascii="Arial" w:cs="Arial" w:eastAsia="Arial" w:hAnsi="Arial"/>
                <w:b/>
                <w:bCs/>
                <w:caps/>
                <w:color w:val="5F6368"/>
                <w:sz w:val="16"/>
                <w:szCs w:val="16"/>
              </w:rPr>
              <w:t xml:space="preserve">Concepto</w:t>
            </w:r>
          </w:p>
        </w:tc>
        <w:tc>
          <w:tcPr>
            <w:tcW w:type="dxa" w:w="2000"/>
            <w:tcBorders>
              <w:top w:val="none" w:color="FFFFFF" w:sz="0"/>
              <w:left w:val="none" w:color="FFFFFF" w:sz="0"/>
              <w:bottom w:val="single" w:color="1D1D1F" w:sz="10"/>
              <w:right w:val="none" w:color="FFFFFF" w:sz="0"/>
            </w:tcBorders>
            <w:tcMar>
              <w:top w:type="dxa" w:w="70"/>
              <w:left w:type="dxa" w:w="100"/>
              <w:bottom w:type="dxa" w:w="70"/>
              <w:right w:type="dxa" w:w="100"/>
            </w:tcMar>
            <w:vAlign w:val="top"/>
          </w:tcPr>
          <w:p>
            <w:pPr>
              <w:jc w:val="left"/>
            </w:pPr>
            <w:r>
              <w:rPr>
                <w:rFonts w:ascii="Arial" w:cs="Arial" w:eastAsia="Arial" w:hAnsi="Arial"/>
                <w:b/>
                <w:bCs/>
                <w:caps/>
                <w:color w:val="5F6368"/>
                <w:sz w:val="16"/>
                <w:szCs w:val="16"/>
              </w:rPr>
              <w:t xml:space="preserve">Plan Personal</w:t>
            </w:r>
          </w:p>
        </w:tc>
        <w:tc>
          <w:tcPr>
            <w:tcW w:type="dxa" w:w="2000"/>
            <w:tcBorders>
              <w:top w:val="none" w:color="FFFFFF" w:sz="0"/>
              <w:left w:val="none" w:color="FFFFFF" w:sz="0"/>
              <w:bottom w:val="single" w:color="1D1D1F" w:sz="10"/>
              <w:right w:val="none" w:color="FFFFFF" w:sz="0"/>
            </w:tcBorders>
            <w:tcMar>
              <w:top w:type="dxa" w:w="70"/>
              <w:left w:type="dxa" w:w="100"/>
              <w:bottom w:type="dxa" w:w="70"/>
              <w:right w:type="dxa" w:w="100"/>
            </w:tcMar>
            <w:vAlign w:val="top"/>
          </w:tcPr>
          <w:p>
            <w:pPr>
              <w:jc w:val="left"/>
            </w:pPr>
            <w:r>
              <w:rPr>
                <w:rFonts w:ascii="Arial" w:cs="Arial" w:eastAsia="Arial" w:hAnsi="Arial"/>
                <w:b/>
                <w:bCs/>
                <w:caps/>
                <w:color w:val="5F6368"/>
                <w:sz w:val="16"/>
                <w:szCs w:val="16"/>
              </w:rPr>
              <w:t xml:space="preserve">Plan Startup</w:t>
            </w:r>
          </w:p>
        </w:tc>
        <w:tc>
          <w:tcPr>
            <w:tcW w:type="dxa" w:w="2272"/>
            <w:tcBorders>
              <w:top w:val="none" w:color="FFFFFF" w:sz="0"/>
              <w:left w:val="none" w:color="FFFFFF" w:sz="0"/>
              <w:bottom w:val="single" w:color="1D1D1F" w:sz="10"/>
              <w:right w:val="none" w:color="FFFFFF" w:sz="0"/>
            </w:tcBorders>
            <w:tcMar>
              <w:top w:type="dxa" w:w="70"/>
              <w:left w:type="dxa" w:w="100"/>
              <w:bottom w:type="dxa" w:w="70"/>
              <w:right w:type="dxa" w:w="100"/>
            </w:tcMar>
            <w:vAlign w:val="top"/>
          </w:tcPr>
          <w:p>
            <w:pPr>
              <w:jc w:val="left"/>
            </w:pPr>
            <w:r>
              <w:rPr>
                <w:rFonts w:ascii="Arial" w:cs="Arial" w:eastAsia="Arial" w:hAnsi="Arial"/>
                <w:b/>
                <w:bCs/>
                <w:caps/>
                <w:color w:val="5F6368"/>
                <w:sz w:val="16"/>
                <w:szCs w:val="16"/>
              </w:rPr>
              <w:t xml:space="preserve">Plan Pro</w:t>
            </w:r>
          </w:p>
        </w:tc>
      </w:tr>
      <w:tr>
        <w:trPr>
          <w:cantSplit/>
        </w:trPr>
        <w:tc>
          <w:tcPr>
            <w:tcW w:type="dxa" w:w="37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sz w:val="19"/>
                <w:szCs w:val="19"/>
              </w:rPr>
              <w:t xml:space="preserve">Ingreso neto mensual (sin IVA)</w:t>
            </w:r>
          </w:p>
        </w:tc>
        <w:tc>
          <w:tcPr>
            <w:tcW w:type="dxa" w:w="20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sz w:val="19"/>
                <w:szCs w:val="19"/>
              </w:rPr>
              <w:t xml:space="preserve">$1,508</w:t>
            </w:r>
          </w:p>
        </w:tc>
        <w:tc>
          <w:tcPr>
            <w:tcW w:type="dxa" w:w="20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sz w:val="19"/>
                <w:szCs w:val="19"/>
              </w:rPr>
              <w:t xml:space="preserve">$3,534</w:t>
            </w:r>
          </w:p>
        </w:tc>
        <w:tc>
          <w:tcPr>
            <w:tcW w:type="dxa" w:w="2272"/>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sz w:val="19"/>
                <w:szCs w:val="19"/>
              </w:rPr>
              <w:t xml:space="preserve">$8,016</w:t>
            </w:r>
          </w:p>
        </w:tc>
      </w:tr>
      <w:tr>
        <w:trPr>
          <w:cantSplit/>
        </w:trPr>
        <w:tc>
          <w:tcPr>
            <w:tcW w:type="dxa" w:w="37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sz w:val="19"/>
                <w:szCs w:val="19"/>
              </w:rPr>
              <w:t xml:space="preserve">Costo total</w:t>
            </w:r>
          </w:p>
        </w:tc>
        <w:tc>
          <w:tcPr>
            <w:tcW w:type="dxa" w:w="20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sz w:val="19"/>
                <w:szCs w:val="19"/>
              </w:rPr>
              <w:t xml:space="preserve">$976</w:t>
            </w:r>
          </w:p>
        </w:tc>
        <w:tc>
          <w:tcPr>
            <w:tcW w:type="dxa" w:w="20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sz w:val="19"/>
                <w:szCs w:val="19"/>
              </w:rPr>
              <w:t xml:space="preserve">$2,134</w:t>
            </w:r>
          </w:p>
        </w:tc>
        <w:tc>
          <w:tcPr>
            <w:tcW w:type="dxa" w:w="2272"/>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sz w:val="19"/>
                <w:szCs w:val="19"/>
              </w:rPr>
              <w:t xml:space="preserve">$3,567</w:t>
            </w:r>
          </w:p>
        </w:tc>
      </w:tr>
      <w:tr>
        <w:trPr>
          <w:cantSplit/>
        </w:trPr>
        <w:tc>
          <w:tcPr>
            <w:tcW w:type="dxa" w:w="37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sz w:val="19"/>
                <w:szCs w:val="19"/>
              </w:rPr>
              <w:t xml:space="preserve">Utilidad antes de soporte</w:t>
            </w:r>
          </w:p>
        </w:tc>
        <w:tc>
          <w:tcPr>
            <w:tcW w:type="dxa" w:w="20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sz w:val="19"/>
                <w:szCs w:val="19"/>
              </w:rPr>
              <w:t xml:space="preserve">$532</w:t>
            </w:r>
          </w:p>
        </w:tc>
        <w:tc>
          <w:tcPr>
            <w:tcW w:type="dxa" w:w="20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sz w:val="19"/>
                <w:szCs w:val="19"/>
              </w:rPr>
              <w:t xml:space="preserve">$1,400</w:t>
            </w:r>
          </w:p>
        </w:tc>
        <w:tc>
          <w:tcPr>
            <w:tcW w:type="dxa" w:w="2272"/>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sz w:val="19"/>
                <w:szCs w:val="19"/>
              </w:rPr>
              <w:t xml:space="preserve">$4,449</w:t>
            </w:r>
          </w:p>
        </w:tc>
      </w:tr>
      <w:tr>
        <w:trPr>
          <w:cantSplit/>
        </w:trPr>
        <w:tc>
          <w:tcPr>
            <w:tcW w:type="dxa" w:w="37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b/>
                <w:bCs/>
                <w:sz w:val="19"/>
                <w:szCs w:val="19"/>
              </w:rPr>
              <w:t xml:space="preserve">Margen</w:t>
            </w:r>
          </w:p>
        </w:tc>
        <w:tc>
          <w:tcPr>
            <w:tcW w:type="dxa" w:w="20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b/>
                <w:bCs/>
                <w:sz w:val="19"/>
                <w:szCs w:val="19"/>
              </w:rPr>
              <w:t xml:space="preserve">35 %</w:t>
            </w:r>
          </w:p>
        </w:tc>
        <w:tc>
          <w:tcPr>
            <w:tcW w:type="dxa" w:w="2000"/>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b/>
                <w:bCs/>
                <w:sz w:val="19"/>
                <w:szCs w:val="19"/>
              </w:rPr>
              <w:t xml:space="preserve">40 %</w:t>
            </w:r>
          </w:p>
        </w:tc>
        <w:tc>
          <w:tcPr>
            <w:tcW w:type="dxa" w:w="2272"/>
            <w:tcBorders>
              <w:top w:val="none" w:color="FFFFFF" w:sz="0"/>
              <w:left w:val="none" w:color="FFFFFF" w:sz="0"/>
              <w:bottom w:val="single" w:color="DADCE0" w:sz="4"/>
              <w:right w:val="none" w:color="FFFFFF" w:sz="0"/>
            </w:tcBorders>
            <w:tcMar>
              <w:top w:type="dxa" w:w="70"/>
              <w:left w:type="dxa" w:w="100"/>
              <w:bottom w:type="dxa" w:w="70"/>
              <w:right w:type="dxa" w:w="100"/>
            </w:tcMar>
            <w:vAlign w:val="top"/>
          </w:tcPr>
          <w:p>
            <w:pPr>
              <w:jc w:val="left"/>
            </w:pPr>
            <w:r>
              <w:rPr>
                <w:rFonts w:ascii="Arial" w:cs="Arial" w:eastAsia="Arial" w:hAnsi="Arial"/>
                <w:b/>
                <w:bCs/>
                <w:sz w:val="19"/>
                <w:szCs w:val="19"/>
              </w:rPr>
              <w:t xml:space="preserve">56 %</w:t>
            </w:r>
          </w:p>
        </w:tc>
      </w:tr>
    </w:tbl>
    <w:p>
      <w:pPr>
        <w:spacing w:after="140" w:before="0" w:line="300"/>
        <w:jc w:val="both"/>
      </w:pPr>
      <w:r>
        <w:rPr>
          <w:rFonts w:ascii="Arial" w:cs="Arial" w:eastAsia="Arial" w:hAnsi="Arial"/>
          <w:color w:val="5F6368"/>
          <w:sz w:val="16"/>
          <w:szCs w:val="16"/>
        </w:rPr>
        <w:t xml:space="preserve">Cifras en MXN por cliente al mes, con consumo al 100 % del tope de cada plan, sin analizador de imágenes y audio.</w:t>
      </w:r>
    </w:p>
    <w:p>
      <w:pPr>
        <w:pStyle w:val="ListParagraph"/>
        <w:numPr>
          <w:ilvl w:val="0"/>
          <w:numId w:val="2"/>
        </w:numPr>
        <w:spacing w:after="100" w:line="290"/>
      </w:pPr>
      <w:r>
        <w:rPr>
          <w:rFonts w:ascii="Arial" w:cs="Arial" w:eastAsia="Arial" w:hAnsi="Arial"/>
          <w:b/>
          <w:bCs/>
          <w:sz w:val="21"/>
          <w:szCs w:val="21"/>
        </w:rPr>
        <w:t xml:space="preserve">Competencia: </w:t>
      </w:r>
      <w:r>
        <w:rPr>
          <w:rFonts w:ascii="Arial" w:cs="Arial" w:eastAsia="Arial" w:hAnsi="Arial"/>
          <w:sz w:val="21"/>
          <w:szCs w:val="21"/>
        </w:rPr>
        <w:t xml:space="preserve">5 competidores directos en León (EvaAI, GH Specialist, León Group, MiRecepcionista y Studio180). EvaAI y GH Specialist son los más relevantes por su presencia local y su CRM integrado.</w:t>
      </w:r>
    </w:p>
    <w:p>
      <w:pPr>
        <w:pStyle w:val="ListParagraph"/>
        <w:numPr>
          <w:ilvl w:val="0"/>
          <w:numId w:val="2"/>
        </w:numPr>
        <w:spacing w:after="100" w:line="290"/>
      </w:pPr>
      <w:r>
        <w:rPr>
          <w:rFonts w:ascii="Arial" w:cs="Arial" w:eastAsia="Arial" w:hAnsi="Arial"/>
          <w:b/>
          <w:bCs/>
          <w:sz w:val="21"/>
          <w:szCs w:val="21"/>
        </w:rPr>
        <w:t xml:space="preserve">Diferenciación: </w:t>
      </w:r>
      <w:r>
        <w:rPr>
          <w:rFonts w:ascii="Arial" w:cs="Arial" w:eastAsia="Arial" w:hAnsi="Arial"/>
          <w:sz w:val="21"/>
          <w:szCs w:val="21"/>
        </w:rPr>
        <w:t xml:space="preserve">OLI es un agente modular que integra varias necesidades operativas en una sola plataforma y crece con el negocio.</w:t>
      </w:r>
    </w:p>
    <w:p>
      <w:pPr>
        <w:pStyle w:val="ListParagraph"/>
        <w:numPr>
          <w:ilvl w:val="0"/>
          <w:numId w:val="2"/>
        </w:numPr>
        <w:spacing w:after="100" w:line="290"/>
      </w:pPr>
      <w:r>
        <w:rPr>
          <w:rFonts w:ascii="Arial" w:cs="Arial" w:eastAsia="Arial" w:hAnsi="Arial"/>
          <w:b/>
          <w:bCs/>
          <w:sz w:val="21"/>
          <w:szCs w:val="21"/>
        </w:rPr>
        <w:t xml:space="preserve">Oferta comercial: </w:t>
      </w:r>
      <w:r>
        <w:rPr>
          <w:rFonts w:ascii="Arial" w:cs="Arial" w:eastAsia="Arial" w:hAnsi="Arial"/>
          <w:sz w:val="21"/>
          <w:szCs w:val="21"/>
        </w:rPr>
        <w:t xml:space="preserve">planes desde $1,499 MXN al mes, con anuncios que dirigen a los prospectos a WhatsApp.</w:t>
      </w:r>
    </w:p>
    <w:p>
      <w:pPr>
        <w:keepNext/>
        <w:pageBreakBefore/>
        <w:pBdr>
          <w:bottom w:val="single" w:color="E10018" w:sz="16" w:space="4"/>
        </w:pBdr>
        <w:spacing w:after="200" w:before="0"/>
      </w:pPr>
      <w:r>
        <w:rPr>
          <w:rFonts w:ascii="Arial" w:cs="Arial" w:eastAsia="Arial" w:hAnsi="Arial"/>
          <w:b/>
          <w:bCs/>
          <w:color w:val="E10018"/>
          <w:sz w:val="32"/>
          <w:szCs w:val="32"/>
        </w:rPr>
        <w:t xml:space="preserve">03  </w:t>
      </w:r>
      <w:r>
        <w:rPr>
          <w:rFonts w:ascii="Arial" w:cs="Arial" w:eastAsia="Arial" w:hAnsi="Arial"/>
          <w:b/>
          <w:bCs/>
          <w:sz w:val="32"/>
          <w:szCs w:val="32"/>
        </w:rPr>
        <w:t xml:space="preserve">Evidencias de actividades en la IR</w:t>
      </w:r>
    </w:p>
    <w:p>
      <w:pPr>
        <w:spacing w:after="140" w:before="0" w:line="300"/>
        <w:jc w:val="both"/>
      </w:pPr>
      <w:r>
        <w:rPr>
          <w:rFonts w:ascii="Arial" w:cs="Arial" w:eastAsia="Arial" w:hAnsi="Arial"/>
          <w:sz w:val="21"/>
          <w:szCs w:val="21"/>
        </w:rPr>
        <w:t xml:space="preserve">La evidencia corresponde a la plataforma financiera de OTLI, trabajada en las semanas 7 y 8 del temario. Cada recuadro indica qué fotografía o captura va en ese espacio.</w:t>
      </w:r>
    </w:p>
    <w:p>
      <w:pPr>
        <w:keepNext/>
        <w:spacing w:after="60" w:before="120"/>
      </w:pPr>
      <w:r>
        <w:rPr>
          <w:rFonts w:ascii="Arial" w:cs="Arial" w:eastAsia="Arial" w:hAnsi="Arial"/>
          <w:b/>
          <w:bCs/>
          <w:color w:val="FFFFFF"/>
          <w:sz w:val="17"/>
          <w:szCs w:val="17"/>
          <w:shd w:fill="E10018" w:color="auto" w:val="clear"/>
        </w:rPr>
        <w:t xml:space="preserve"> EVIDENCIA 1 </w:t>
      </w:r>
      <w:r>
        <w:rPr>
          <w:rFonts w:ascii="Arial" w:cs="Arial" w:eastAsia="Arial" w:hAnsi="Arial"/>
          <w:b/>
          <w:bCs/>
          <w:sz w:val="22"/>
          <w:szCs w:val="22"/>
        </w:rPr>
        <w:t xml:space="preserve">   Plataforma financiera: costos y proyecciones de ventas</w:t>
      </w:r>
    </w:p>
    <w:p>
      <w:pPr>
        <w:spacing w:after="160" w:before="0" w:line="300"/>
        <w:jc w:val="both"/>
      </w:pPr>
      <w:r>
        <w:rPr>
          <w:rFonts w:ascii="Arial" w:cs="Arial" w:eastAsia="Arial" w:hAnsi="Arial"/>
          <w:color w:val="5F6368"/>
          <w:sz w:val="17"/>
          <w:szCs w:val="17"/>
        </w:rPr>
        <w:t xml:space="preserve">Semanas 7 y 8 · Diagnóstico financiero, estructura de costos y financiamiento</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86"/>
        <w:gridCol w:w="4986"/>
      </w:tblGrid>
      <w:tr>
        <w:trPr>
          <w:cantSplit/>
          <w:trHeight w:val="4300" w:hRule="exact"/>
        </w:trPr>
        <w:tc>
          <w:tcPr>
            <w:tcW w:type="dxa" w:w="4986"/>
            <w:tcBorders>
              <w:top w:val="dashed" w:color="A0A4AA" w:sz="8"/>
              <w:left w:val="dashed" w:color="A0A4AA" w:sz="8"/>
              <w:bottom w:val="dashed" w:color="A0A4AA" w:sz="8"/>
              <w:right w:val="dashed" w:color="A0A4AA" w:sz="8"/>
            </w:tcBorders>
            <w:shd w:fill="FAFAFB" w:color="auto" w:val="clear"/>
            <w:tcMar>
              <w:top w:type="dxa" w:w="100"/>
              <w:left w:type="dxa" w:w="300"/>
              <w:bottom w:type="dxa" w:w="100"/>
              <w:right w:type="dxa" w:w="300"/>
            </w:tcMar>
            <w:vAlign w:val="center"/>
          </w:tcPr>
          <w:p>
            <w:pPr>
              <w:spacing w:after="80"/>
              <w:jc w:val="center"/>
            </w:pPr>
            <w:r>
              <w:rPr>
                <w:rFonts w:ascii="Arial" w:cs="Arial" w:eastAsia="Arial" w:hAnsi="Arial"/>
                <w:b/>
                <w:bCs/>
                <w:caps/>
                <w:color w:val="6B7078"/>
                <w:sz w:val="18"/>
                <w:szCs w:val="18"/>
              </w:rPr>
              <w:t xml:space="preserve">Fotografía 1 · Proyección de ventas</w:t>
            </w:r>
          </w:p>
          <w:p>
            <w:pPr>
              <w:jc w:val="center"/>
            </w:pPr>
            <w:r>
              <w:rPr>
                <w:rFonts w:ascii="Arial" w:cs="Arial" w:eastAsia="Arial" w:hAnsi="Arial"/>
                <w:color w:val="8A8F96"/>
                <w:sz w:val="17"/>
                <w:szCs w:val="17"/>
              </w:rPr>
              <w:t xml:space="preserve">Insertar aquí la foto o captura de la proyección de ventas: clientes esperados por mes y por plan, e ingresos proyectados.</w:t>
            </w:r>
          </w:p>
        </w:tc>
        <w:tc>
          <w:tcPr>
            <w:tcW w:type="dxa" w:w="4986"/>
            <w:tcBorders>
              <w:top w:val="dashed" w:color="A0A4AA" w:sz="8"/>
              <w:left w:val="dashed" w:color="A0A4AA" w:sz="8"/>
              <w:bottom w:val="dashed" w:color="A0A4AA" w:sz="8"/>
              <w:right w:val="dashed" w:color="A0A4AA" w:sz="8"/>
            </w:tcBorders>
            <w:shd w:fill="FAFAFB" w:color="auto" w:val="clear"/>
            <w:tcMar>
              <w:top w:type="dxa" w:w="100"/>
              <w:left w:type="dxa" w:w="300"/>
              <w:bottom w:type="dxa" w:w="100"/>
              <w:right w:type="dxa" w:w="300"/>
            </w:tcMar>
            <w:vAlign w:val="center"/>
          </w:tcPr>
          <w:p>
            <w:pPr>
              <w:spacing w:after="80"/>
              <w:jc w:val="center"/>
            </w:pPr>
            <w:r>
              <w:rPr>
                <w:rFonts w:ascii="Arial" w:cs="Arial" w:eastAsia="Arial" w:hAnsi="Arial"/>
                <w:b/>
                <w:bCs/>
                <w:caps/>
                <w:color w:val="6B7078"/>
                <w:sz w:val="18"/>
                <w:szCs w:val="18"/>
              </w:rPr>
              <w:t xml:space="preserve">Fotografía 2 · Proyección financiera</w:t>
            </w:r>
          </w:p>
          <w:p>
            <w:pPr>
              <w:jc w:val="center"/>
            </w:pPr>
            <w:r>
              <w:rPr>
                <w:rFonts w:ascii="Arial" w:cs="Arial" w:eastAsia="Arial" w:hAnsi="Arial"/>
                <w:color w:val="8A8F96"/>
                <w:sz w:val="17"/>
                <w:szCs w:val="17"/>
              </w:rPr>
              <w:t xml:space="preserve">Insertar aquí la foto o captura de la estructura de costos y de las proyecciones financieras (costos, utilidad o flujo de efectivo).</w:t>
            </w:r>
          </w:p>
        </w:tc>
      </w:tr>
      <w:tr>
        <w:tc>
          <w:tcPr>
            <w:tcW w:type="dxa" w:w="4986"/>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r>
              <w:rPr>
                <w:rFonts w:ascii="Arial" w:cs="Arial" w:eastAsia="Arial" w:hAnsi="Arial"/>
                <w:i/>
                <w:iCs/>
                <w:color w:val="5F6368"/>
                <w:sz w:val="16"/>
                <w:szCs w:val="16"/>
              </w:rPr>
              <w:t xml:space="preserve">Fotografía 1. Proyección de ventas de OTLI.</w:t>
            </w:r>
          </w:p>
        </w:tc>
        <w:tc>
          <w:tcPr>
            <w:tcW w:type="dxa" w:w="4986"/>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r>
              <w:rPr>
                <w:rFonts w:ascii="Arial" w:cs="Arial" w:eastAsia="Arial" w:hAnsi="Arial"/>
                <w:i/>
                <w:iCs/>
                <w:color w:val="5F6368"/>
                <w:sz w:val="16"/>
                <w:szCs w:val="16"/>
              </w:rPr>
              <w:t xml:space="preserve">Fotografía 2. Estructura de costos y proyección financiera de OTLI.</w:t>
            </w:r>
          </w:p>
        </w:tc>
      </w:tr>
    </w:tbl>
    <w:p>
      <w:pPr>
        <w:spacing w:after="140" w:before="200" w:line="300"/>
        <w:jc w:val="both"/>
      </w:pPr>
      <w:r>
        <w:rPr>
          <w:rFonts w:ascii="Arial" w:cs="Arial" w:eastAsia="Arial" w:hAnsi="Arial"/>
          <w:sz w:val="21"/>
          <w:szCs w:val="21"/>
        </w:rPr>
        <w:t xml:space="preserve">Construí la plataforma financiera de OTLI. Primero calculé el costo mensual por cliente de cada plan con consumo al 100 %: IA conversacional, mensajes de Meta, comisiones de Stripe y almacenamiento, con márgenes de 35 % a 56 % antes de soporte. Sobre esa base elaboré las proyecciones de ventas y financieras del plan de negocios, que permiten estimar los ingresos esperados y la rentabilidad conforme se incorporan nuevos clientes.</w:t>
      </w:r>
    </w:p>
    <w:p>
      <w:pPr>
        <w:keepNext/>
        <w:pageBreakBefore/>
        <w:pBdr>
          <w:bottom w:val="single" w:color="E10018" w:sz="16" w:space="4"/>
        </w:pBdr>
        <w:spacing w:after="200" w:before="0"/>
      </w:pPr>
      <w:r>
        <w:rPr>
          <w:rFonts w:ascii="Arial" w:cs="Arial" w:eastAsia="Arial" w:hAnsi="Arial"/>
          <w:b/>
          <w:bCs/>
          <w:color w:val="E10018"/>
          <w:sz w:val="32"/>
          <w:szCs w:val="32"/>
        </w:rPr>
        <w:t xml:space="preserve">04  </w:t>
      </w:r>
      <w:r>
        <w:rPr>
          <w:rFonts w:ascii="Arial" w:cs="Arial" w:eastAsia="Arial" w:hAnsi="Arial"/>
          <w:b/>
          <w:bCs/>
          <w:sz w:val="32"/>
          <w:szCs w:val="32"/>
        </w:rPr>
        <w:t xml:space="preserve">Recopilación de aprendizajes</w:t>
      </w:r>
    </w:p>
    <w:p>
      <w:pPr>
        <w:spacing w:after="140" w:before="0" w:line="300"/>
        <w:jc w:val="both"/>
      </w:pPr>
      <w:r>
        <w:rPr>
          <w:rFonts w:ascii="Arial" w:cs="Arial" w:eastAsia="Arial" w:hAnsi="Arial"/>
          <w:sz w:val="21"/>
          <w:szCs w:val="21"/>
        </w:rPr>
        <w:t xml:space="preserve">Mi estancia en la incubadora me ha dejado cinco aprendizajes principales. Conectan la teoría de Inteligencia de Negocios con la creación de una empresa real.</w:t>
      </w:r>
    </w:p>
    <w:p>
      <w:pPr>
        <w:keepNext/>
        <w:spacing w:after="60" w:before="160"/>
      </w:pPr>
      <w:r>
        <w:rPr>
          <w:rFonts w:ascii="Arial" w:cs="Arial" w:eastAsia="Arial" w:hAnsi="Arial"/>
          <w:b/>
          <w:bCs/>
          <w:color w:val="E10018"/>
          <w:sz w:val="26"/>
          <w:szCs w:val="26"/>
        </w:rPr>
        <w:t xml:space="preserve">1   </w:t>
      </w:r>
      <w:r>
        <w:rPr>
          <w:rFonts w:ascii="Arial" w:cs="Arial" w:eastAsia="Arial" w:hAnsi="Arial"/>
          <w:b/>
          <w:bCs/>
          <w:sz w:val="22"/>
          <w:szCs w:val="22"/>
        </w:rPr>
        <w:t xml:space="preserve">Una idea no es un negocio hasta que se valida</w:t>
      </w:r>
    </w:p>
    <w:p>
      <w:pPr>
        <w:spacing w:after="120" w:before="0" w:line="300"/>
        <w:jc w:val="both"/>
      </w:pPr>
      <w:r>
        <w:rPr>
          <w:rFonts w:ascii="Arial" w:cs="Arial" w:eastAsia="Arial" w:hAnsi="Arial"/>
          <w:sz w:val="21"/>
          <w:szCs w:val="21"/>
        </w:rPr>
        <w:t xml:space="preserve">Al definir el buyer persona y diseñar el formulario entendí que debo confirmar con PYMES reales que el problema existe y que están dispuestas a pagar por resolverlo. Antes de esta etapa daba por hecho la demanda.</w:t>
      </w:r>
    </w:p>
    <w:p>
      <w:pPr>
        <w:keepNext/>
        <w:spacing w:after="60" w:before="160"/>
      </w:pPr>
      <w:r>
        <w:rPr>
          <w:rFonts w:ascii="Arial" w:cs="Arial" w:eastAsia="Arial" w:hAnsi="Arial"/>
          <w:b/>
          <w:bCs/>
          <w:color w:val="E10018"/>
          <w:sz w:val="26"/>
          <w:szCs w:val="26"/>
        </w:rPr>
        <w:t xml:space="preserve">2   </w:t>
      </w:r>
      <w:r>
        <w:rPr>
          <w:rFonts w:ascii="Arial" w:cs="Arial" w:eastAsia="Arial" w:hAnsi="Arial"/>
          <w:b/>
          <w:bCs/>
          <w:sz w:val="22"/>
          <w:szCs w:val="22"/>
        </w:rPr>
        <w:t xml:space="preserve">Los costos unitarios definen la estrategia de precios</w:t>
      </w:r>
    </w:p>
    <w:p>
      <w:pPr>
        <w:spacing w:after="120" w:before="0" w:line="300"/>
        <w:jc w:val="both"/>
      </w:pPr>
      <w:r>
        <w:rPr>
          <w:rFonts w:ascii="Arial" w:cs="Arial" w:eastAsia="Arial" w:hAnsi="Arial"/>
          <w:sz w:val="21"/>
          <w:szCs w:val="21"/>
        </w:rPr>
        <w:t xml:space="preserve">Al desglosar el costo por cliente descubrí que el plan Personal deja un margen de 35 %, mientras que el plan Pro llega a 56 %. El crecimiento rentable depende de llevar a los clientes hacia planes de mayor valor.</w:t>
      </w:r>
    </w:p>
    <w:p>
      <w:pPr>
        <w:keepNext/>
        <w:spacing w:after="60" w:before="160"/>
      </w:pPr>
      <w:r>
        <w:rPr>
          <w:rFonts w:ascii="Arial" w:cs="Arial" w:eastAsia="Arial" w:hAnsi="Arial"/>
          <w:b/>
          <w:bCs/>
          <w:color w:val="E10018"/>
          <w:sz w:val="26"/>
          <w:szCs w:val="26"/>
        </w:rPr>
        <w:t xml:space="preserve">3   </w:t>
      </w:r>
      <w:r>
        <w:rPr>
          <w:rFonts w:ascii="Arial" w:cs="Arial" w:eastAsia="Arial" w:hAnsi="Arial"/>
          <w:b/>
          <w:bCs/>
          <w:sz w:val="22"/>
          <w:szCs w:val="22"/>
        </w:rPr>
        <w:t xml:space="preserve">El análisis de la competencia orienta la diferenciación</w:t>
      </w:r>
    </w:p>
    <w:p>
      <w:pPr>
        <w:spacing w:after="120" w:before="0" w:line="300"/>
        <w:jc w:val="both"/>
      </w:pPr>
      <w:r>
        <w:rPr>
          <w:rFonts w:ascii="Arial" w:cs="Arial" w:eastAsia="Arial" w:hAnsi="Arial"/>
          <w:sz w:val="21"/>
          <w:szCs w:val="21"/>
        </w:rPr>
        <w:t xml:space="preserve">Estudiar a EvaAI, GH Specialist y otros tres competidores me mostró que la mayoría ofrece chatbots con CRM. La ventaja de OTLI debe comunicarse como un agente modular que crece con el negocio, no como un chatbot más.</w:t>
      </w:r>
    </w:p>
    <w:p>
      <w:pPr>
        <w:keepNext/>
        <w:spacing w:after="60" w:before="160"/>
      </w:pPr>
      <w:r>
        <w:rPr>
          <w:rFonts w:ascii="Arial" w:cs="Arial" w:eastAsia="Arial" w:hAnsi="Arial"/>
          <w:b/>
          <w:bCs/>
          <w:color w:val="E10018"/>
          <w:sz w:val="26"/>
          <w:szCs w:val="26"/>
        </w:rPr>
        <w:t xml:space="preserve">4   </w:t>
      </w:r>
      <w:r>
        <w:rPr>
          <w:rFonts w:ascii="Arial" w:cs="Arial" w:eastAsia="Arial" w:hAnsi="Arial"/>
          <w:b/>
          <w:bCs/>
          <w:sz w:val="22"/>
          <w:szCs w:val="22"/>
        </w:rPr>
        <w:t xml:space="preserve">Comunicar en pocas palabras exige claridad estratégica</w:t>
      </w:r>
    </w:p>
    <w:p>
      <w:pPr>
        <w:spacing w:after="120" w:before="0" w:line="300"/>
        <w:jc w:val="both"/>
      </w:pPr>
      <w:r>
        <w:rPr>
          <w:rFonts w:ascii="Arial" w:cs="Arial" w:eastAsia="Arial" w:hAnsi="Arial"/>
          <w:sz w:val="21"/>
          <w:szCs w:val="21"/>
        </w:rPr>
        <w:t xml:space="preserve">Escribir el pitch de 30 segundos me obligó a elegir un solo mensaje central: menos tiempo en tareas operativas y más tiempo para hacer crecer el negocio.</w:t>
      </w:r>
    </w:p>
    <w:p>
      <w:pPr>
        <w:keepNext/>
        <w:spacing w:after="60" w:before="160"/>
      </w:pPr>
      <w:r>
        <w:rPr>
          <w:rFonts w:ascii="Arial" w:cs="Arial" w:eastAsia="Arial" w:hAnsi="Arial"/>
          <w:b/>
          <w:bCs/>
          <w:color w:val="E10018"/>
          <w:sz w:val="26"/>
          <w:szCs w:val="26"/>
        </w:rPr>
        <w:t xml:space="preserve">5   </w:t>
      </w:r>
      <w:r>
        <w:rPr>
          <w:rFonts w:ascii="Arial" w:cs="Arial" w:eastAsia="Arial" w:hAnsi="Arial"/>
          <w:b/>
          <w:bCs/>
          <w:sz w:val="22"/>
          <w:szCs w:val="22"/>
        </w:rPr>
        <w:t xml:space="preserve">La confianza también es parte del producto</w:t>
      </w:r>
    </w:p>
    <w:p>
      <w:pPr>
        <w:spacing w:after="120" w:before="0" w:line="300"/>
        <w:jc w:val="both"/>
      </w:pPr>
      <w:r>
        <w:rPr>
          <w:rFonts w:ascii="Arial" w:cs="Arial" w:eastAsia="Arial" w:hAnsi="Arial"/>
          <w:sz w:val="21"/>
          <w:szCs w:val="21"/>
        </w:rPr>
        <w:t xml:space="preserve">Al manejar datos de clientes, la seguridad y la privacidad no son opcionales. Por ello incluí en los objetivos de mediano plazo la certificación ISO 27001 y la incorporación de un especialista en ciberseguridad.</w:t>
      </w:r>
    </w:p>
    <w:p>
      <w:pPr>
        <w:keepNext/>
        <w:pageBreakBefore/>
        <w:pBdr>
          <w:bottom w:val="single" w:color="E10018" w:sz="16" w:space="4"/>
        </w:pBdr>
        <w:spacing w:after="200" w:before="0"/>
      </w:pPr>
      <w:r>
        <w:rPr>
          <w:rFonts w:ascii="Arial" w:cs="Arial" w:eastAsia="Arial" w:hAnsi="Arial"/>
          <w:b/>
          <w:bCs/>
          <w:color w:val="E10018"/>
          <w:sz w:val="32"/>
          <w:szCs w:val="32"/>
        </w:rPr>
        <w:t xml:space="preserve">05  </w:t>
      </w:r>
      <w:r>
        <w:rPr>
          <w:rFonts w:ascii="Arial" w:cs="Arial" w:eastAsia="Arial" w:hAnsi="Arial"/>
          <w:b/>
          <w:bCs/>
          <w:sz w:val="32"/>
          <w:szCs w:val="32"/>
        </w:rPr>
        <w:t xml:space="preserve">Sugerencias para mejorar la experiencia</w:t>
      </w:r>
    </w:p>
    <w:p>
      <w:pPr>
        <w:spacing w:after="140" w:before="0" w:line="300"/>
        <w:jc w:val="both"/>
      </w:pPr>
      <w:r>
        <w:rPr>
          <w:rFonts w:ascii="Arial" w:cs="Arial" w:eastAsia="Arial" w:hAnsi="Arial"/>
          <w:sz w:val="21"/>
          <w:szCs w:val="21"/>
        </w:rPr>
        <w:t xml:space="preserve">Propongo una mejora que haría más productiva la experiencia de los proyectos incubados en IBERO EMPRENDE.</w:t>
      </w:r>
    </w:p>
    <w:p>
      <w:pPr>
        <w:keepNext/>
        <w:spacing w:after="60" w:before="160"/>
      </w:pPr>
      <w:r>
        <w:rPr>
          <w:rFonts w:ascii="Arial" w:cs="Arial" w:eastAsia="Arial" w:hAnsi="Arial"/>
          <w:b/>
          <w:bCs/>
          <w:color w:val="E10018"/>
          <w:sz w:val="26"/>
          <w:szCs w:val="26"/>
        </w:rPr>
        <w:t xml:space="preserve">1   </w:t>
      </w:r>
      <w:r>
        <w:rPr>
          <w:rFonts w:ascii="Arial" w:cs="Arial" w:eastAsia="Arial" w:hAnsi="Arial"/>
          <w:b/>
          <w:bCs/>
          <w:sz w:val="22"/>
          <w:szCs w:val="22"/>
        </w:rPr>
        <w:t xml:space="preserve">Talleres prácticos de finanzas y aspectos legales</w:t>
      </w:r>
    </w:p>
    <w:p>
      <w:pPr>
        <w:spacing w:after="120" w:before="0" w:line="300"/>
        <w:jc w:val="both"/>
      </w:pPr>
      <w:r>
        <w:rPr>
          <w:rFonts w:ascii="Arial" w:cs="Arial" w:eastAsia="Arial" w:hAnsi="Arial"/>
          <w:sz w:val="21"/>
          <w:szCs w:val="21"/>
        </w:rPr>
        <w:t xml:space="preserve">Las proyecciones financieras y la constitución de la empresa han sido las áreas de mayor reto. Sesiones guiadas con plantillas y asesoría fiscal y legal ayudarían a avanzar con más seguridad.</w:t>
      </w:r>
    </w:p>
    <w:p>
      <w:pPr>
        <w:spacing w:before="1600"/>
        <w:jc w:val="center"/>
      </w:pPr>
      <w:r>
        <w:rPr>
          <w:rFonts w:ascii="Arial" w:cs="Arial" w:eastAsia="Arial" w:hAnsi="Arial"/>
          <w:color w:val="1D1D1F"/>
          <w:sz w:val="21"/>
          <w:szCs w:val="21"/>
        </w:rPr>
        <w:t xml:space="preserve">______________________________________</w:t>
      </w:r>
    </w:p>
    <w:p>
      <w:pPr>
        <w:jc w:val="center"/>
      </w:pPr>
      <w:r>
        <w:rPr>
          <w:rFonts w:ascii="Arial" w:cs="Arial" w:eastAsia="Arial" w:hAnsi="Arial"/>
          <w:b/>
          <w:bCs/>
          <w:sz w:val="20"/>
          <w:szCs w:val="20"/>
        </w:rPr>
        <w:t xml:space="preserve">Mtra. María Guadalupe Sánchez González</w:t>
      </w:r>
    </w:p>
    <w:p>
      <w:pPr>
        <w:jc w:val="center"/>
      </w:pPr>
      <w:r>
        <w:rPr>
          <w:rFonts w:ascii="Arial" w:cs="Arial" w:eastAsia="Arial" w:hAnsi="Arial"/>
          <w:color w:val="5F6368"/>
          <w:sz w:val="18"/>
          <w:szCs w:val="18"/>
        </w:rPr>
        <w:t xml:space="preserve">Coordinadora · Líder de proyecto</w:t>
      </w:r>
    </w:p>
    <w:p>
      <w:pPr>
        <w:spacing w:after="300"/>
        <w:jc w:val="center"/>
      </w:pPr>
      <w:r>
        <w:rPr>
          <w:rFonts w:ascii="Arial" w:cs="Arial" w:eastAsia="Arial" w:hAnsi="Arial"/>
          <w:color w:val="5F6368"/>
          <w:sz w:val="18"/>
          <w:szCs w:val="18"/>
        </w:rPr>
        <w:t xml:space="preserve">IBERO EMPRENDE</w:t>
      </w:r>
    </w:p>
    <w:p>
      <w:pPr>
        <w:jc w:val="center"/>
      </w:pPr>
      <w:r>
        <w:rPr>
          <w:rFonts w:ascii="Arial" w:cs="Arial" w:eastAsia="Arial" w:hAnsi="Arial"/>
          <w:color w:val="5F6368"/>
          <w:sz w:val="18"/>
          <w:szCs w:val="18"/>
        </w:rPr>
        <w:t xml:space="preserve">León, Guanajuato, a 16 de octubre de 2026</w:t>
      </w:r>
    </w:p>
    <w:sectPr>
      <w:headerReference w:type="default" r:id="rId7"/>
      <w:footerReference w:type="default" r:id="rId8"/>
      <w:pgSz w:w="12240" w:h="15840" w:orient="portrait"/>
      <w:pgMar w:top="1300" w:right="1134" w:bottom="1134" w:left="1134" w:header="560" w:footer="56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972"/>
      </w:tabs>
    </w:pPr>
    <w:r>
      <w:rPr>
        <w:rFonts w:ascii="Arial" w:cs="Arial" w:eastAsia="Arial" w:hAnsi="Arial"/>
        <w:color w:val="5F6368"/>
        <w:sz w:val="15"/>
        <w:szCs w:val="15"/>
      </w:rPr>
      <w:t xml:space="preserve">Emilio Arroyo Valadez · 190162-5 · Proyectos de Gestión</w:t>
    </w:r>
    <w:r>
      <w:rPr>
        <w:rFonts w:ascii="Arial" w:cs="Arial" w:eastAsia="Arial" w:hAnsi="Arial"/>
        <w:color w:val="5F6368"/>
        <w:sz w:val="15"/>
        <w:szCs w:val="15"/>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ADCE0" w:sz="4" w:space="6"/>
      </w:pBdr>
      <w:tabs>
        <w:tab w:val="right" w:pos="9972"/>
      </w:tabs>
    </w:pPr>
    <w:r>
      <w:drawing>
        <wp:inline distT="0" distB="0" distL="0" distR="0">
          <wp:extent cx="1524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2400" cy="152400"/>
                  </a:xfrm>
                  <a:prstGeom prst="rect">
                    <a:avLst/>
                  </a:prstGeom>
                </pic:spPr>
              </pic:pic>
            </a:graphicData>
          </a:graphic>
        </wp:inline>
      </w:drawing>
    </w:r>
    <w:r>
      <w:rPr>
        <w:rFonts w:ascii="Arial" w:cs="Arial" w:eastAsia="Arial" w:hAnsi="Arial"/>
        <w:color w:val="5F6368"/>
        <w:sz w:val="15"/>
        <w:szCs w:val="15"/>
      </w:rPr>
      <w:t xml:space="preserve">  Universidad Iberoamericana León</w:t>
    </w:r>
    <w:r>
      <w:rPr>
        <w:rFonts w:ascii="Arial" w:cs="Arial" w:eastAsia="Arial" w:hAnsi="Arial"/>
        <w:color w:val="5F6368"/>
        <w:sz w:val="15"/>
        <w:szCs w:val="15"/>
      </w:rPr>
      <w:t xml:space="preserve">	Reporte de avances · OTLI-IA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a71ef38f641ab4b0ab90c17bbc593d692eac35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a71ef38f641ab4b0ab90c17bbc593d692eac35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de avances – OTLI-IA</dc:title>
  <dc:creator>Emilio Arroyo Valadez</dc:creator>
  <cp:lastModifiedBy>Un-named</cp:lastModifiedBy>
  <cp:revision>1</cp:revision>
  <dcterms:created xsi:type="dcterms:W3CDTF">2026-10-17T03:15:50.269Z</dcterms:created>
  <dcterms:modified xsi:type="dcterms:W3CDTF">2026-10-17T03:15:50.269Z</dcterms:modified>
</cp:coreProperties>
</file>

<file path=docProps/custom.xml><?xml version="1.0" encoding="utf-8"?>
<Properties xmlns="http://schemas.openxmlformats.org/officeDocument/2006/custom-properties" xmlns:vt="http://schemas.openxmlformats.org/officeDocument/2006/docPropsVTypes"/>
</file>