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1"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1"/>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r w:rsidRPr="00F945A4">
        <w:rPr>
          <w:rFonts w:ascii="Times New Roman" w:eastAsia="Times New Roman" w:hAnsi="Times New Roman" w:cs="Times New Roman"/>
          <w:sz w:val="20"/>
          <w:szCs w:val="20"/>
          <w:lang w:val="en-US"/>
        </w:rPr>
        <w:t>Bacias hidrográficas inteligentes</w:t>
      </w:r>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Introdução</w:t>
      </w:r>
    </w:p>
    <w:p w14:paraId="05E4D01B" w14:textId="4F8AFB6A"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w:t>
      </w:r>
      <w:r w:rsidR="00B5352A">
        <w:rPr>
          <w:rFonts w:ascii="Times New Roman" w:eastAsia="Times New Roman" w:hAnsi="Times New Roman" w:cs="Times New Roman"/>
          <w:sz w:val="24"/>
          <w:szCs w:val="24"/>
        </w:rPr>
        <w:t xml:space="preserve">ocorre </w:t>
      </w:r>
      <w:r>
        <w:rPr>
          <w:rFonts w:ascii="Times New Roman" w:eastAsia="Times New Roman" w:hAnsi="Times New Roman" w:cs="Times New Roman"/>
          <w:sz w:val="24"/>
          <w:szCs w:val="24"/>
        </w:rPr>
        <w:t xml:space="preserve">de modo sustentável </w:t>
      </w:r>
      <w:r w:rsidR="0058521E">
        <w:rPr>
          <w:rFonts w:ascii="Times New Roman" w:eastAsia="Times New Roman" w:hAnsi="Times New Roman" w:cs="Times New Roman"/>
          <w:sz w:val="24"/>
          <w:szCs w:val="24"/>
        </w:rPr>
        <w:t xml:space="preserve">torna-se </w:t>
      </w:r>
      <w:r w:rsidR="00B5352A">
        <w:rPr>
          <w:rFonts w:ascii="Times New Roman" w:eastAsia="Times New Roman" w:hAnsi="Times New Roman" w:cs="Times New Roman"/>
          <w:sz w:val="24"/>
          <w:szCs w:val="24"/>
        </w:rPr>
        <w:t xml:space="preserve">capaz de </w:t>
      </w:r>
      <w:r>
        <w:rPr>
          <w:rFonts w:ascii="Times New Roman" w:eastAsia="Times New Roman" w:hAnsi="Times New Roman" w:cs="Times New Roman"/>
          <w:sz w:val="24"/>
          <w:szCs w:val="24"/>
        </w:rPr>
        <w:t>proporciona</w:t>
      </w:r>
      <w:r w:rsidR="00B535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qualidade de vida às pessoas que vivem </w:t>
      </w:r>
      <w:r w:rsidR="00B5352A">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espaço</w:t>
      </w:r>
      <w:r w:rsidR="00B5352A">
        <w:rPr>
          <w:rFonts w:ascii="Times New Roman" w:eastAsia="Times New Roman" w:hAnsi="Times New Roman" w:cs="Times New Roman"/>
          <w:sz w:val="24"/>
          <w:szCs w:val="24"/>
        </w:rPr>
        <w:t xml:space="preserve"> em que este crescimento se realiza.</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D</w:t>
      </w:r>
      <w:r>
        <w:rPr>
          <w:rFonts w:ascii="Times New Roman" w:eastAsia="Times New Roman" w:hAnsi="Times New Roman" w:cs="Times New Roman"/>
          <w:sz w:val="24"/>
          <w:szCs w:val="24"/>
        </w:rPr>
        <w:t>ecorrente de investimentos em capital humano e social</w:t>
      </w:r>
      <w:r w:rsidR="00B535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 com </w:t>
      </w:r>
      <w:r w:rsidR="00B5352A">
        <w:rPr>
          <w:rFonts w:ascii="Times New Roman" w:eastAsia="Times New Roman" w:hAnsi="Times New Roman" w:cs="Times New Roman"/>
          <w:sz w:val="24"/>
          <w:szCs w:val="24"/>
        </w:rPr>
        <w:t xml:space="preserve">a utilização de </w:t>
      </w:r>
      <w:r>
        <w:rPr>
          <w:rFonts w:ascii="Times New Roman" w:eastAsia="Times New Roman" w:hAnsi="Times New Roman" w:cs="Times New Roman"/>
          <w:sz w:val="24"/>
          <w:szCs w:val="24"/>
        </w:rPr>
        <w:t>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w:t>
      </w:r>
      <w:r w:rsidR="00B5352A">
        <w:rPr>
          <w:rFonts w:ascii="Times New Roman" w:eastAsia="Times New Roman" w:hAnsi="Times New Roman" w:cs="Times New Roman"/>
          <w:sz w:val="24"/>
          <w:szCs w:val="24"/>
        </w:rPr>
        <w:t xml:space="preserve">caracterizam </w:t>
      </w:r>
      <w:r>
        <w:rPr>
          <w:rFonts w:ascii="Times New Roman" w:eastAsia="Times New Roman" w:hAnsi="Times New Roman" w:cs="Times New Roman"/>
          <w:sz w:val="24"/>
          <w:szCs w:val="24"/>
        </w:rPr>
        <w:t xml:space="preserve">as cidades inteligentes </w:t>
      </w:r>
      <w:r w:rsidR="00B5352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possui</w:t>
      </w:r>
      <w:r w:rsidR="00B5352A">
        <w:rPr>
          <w:rFonts w:ascii="Times New Roman" w:eastAsia="Times New Roman" w:hAnsi="Times New Roman" w:cs="Times New Roman"/>
          <w:sz w:val="24"/>
          <w:szCs w:val="24"/>
        </w:rPr>
        <w:t>doras de</w:t>
      </w:r>
      <w:r>
        <w:rPr>
          <w:rFonts w:ascii="Times New Roman" w:eastAsia="Times New Roman" w:hAnsi="Times New Roman" w:cs="Times New Roman"/>
          <w:sz w:val="24"/>
          <w:szCs w:val="24"/>
        </w:rPr>
        <w:t xml:space="preserve"> sistemas integrados</w:t>
      </w:r>
      <w:r w:rsidR="00B5352A">
        <w:rPr>
          <w:rFonts w:ascii="Times New Roman" w:eastAsia="Times New Roman" w:hAnsi="Times New Roman" w:cs="Times New Roman"/>
          <w:sz w:val="24"/>
          <w:szCs w:val="24"/>
        </w:rPr>
        <w:t>, calcados</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em</w:t>
      </w:r>
      <w:r>
        <w:rPr>
          <w:rFonts w:ascii="Times New Roman" w:eastAsia="Times New Roman" w:hAnsi="Times New Roman" w:cs="Times New Roman"/>
          <w:sz w:val="24"/>
          <w:szCs w:val="24"/>
        </w:rPr>
        <w:t xml:space="preserve"> soluções inovadoras com a finalidade de proporcionar melhoria na qualidade dos serviços oferecidos aos cidadãos.  </w:t>
      </w:r>
    </w:p>
    <w:p w14:paraId="36105D99" w14:textId="12220C3B"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Toppeta (2010) </w:t>
      </w:r>
      <w:r w:rsidR="00B5352A">
        <w:rPr>
          <w:rFonts w:ascii="Times New Roman" w:eastAsia="Times New Roman" w:hAnsi="Times New Roman" w:cs="Times New Roman"/>
          <w:sz w:val="24"/>
          <w:szCs w:val="24"/>
        </w:rPr>
        <w:t>sugere</w:t>
      </w:r>
      <w:r>
        <w:rPr>
          <w:rFonts w:ascii="Times New Roman" w:eastAsia="Times New Roman" w:hAnsi="Times New Roman" w:cs="Times New Roman"/>
          <w:sz w:val="24"/>
          <w:szCs w:val="24"/>
        </w:rPr>
        <w:t xml:space="preserve"> que as soluções inovadoras para gerenciar a complexidade das cidades devem</w:t>
      </w:r>
      <w:r w:rsidR="00B5352A">
        <w:rPr>
          <w:rFonts w:ascii="Times New Roman" w:eastAsia="Times New Roman" w:hAnsi="Times New Roman" w:cs="Times New Roman"/>
          <w:sz w:val="24"/>
          <w:szCs w:val="24"/>
        </w:rPr>
        <w:t>, necessariamente,</w:t>
      </w:r>
      <w:r>
        <w:rPr>
          <w:rFonts w:ascii="Times New Roman" w:eastAsia="Times New Roman" w:hAnsi="Times New Roman" w:cs="Times New Roman"/>
          <w:sz w:val="24"/>
          <w:szCs w:val="24"/>
        </w:rPr>
        <w:t xml:space="preserve"> utilizar facilidades das Tecnologias da Informação e Comunicação (TIC) para que possam ser implementadas. Yigitcanlar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Pr>
          <w:rFonts w:ascii="Times New Roman" w:eastAsia="Times New Roman" w:hAnsi="Times New Roman" w:cs="Times New Roman"/>
          <w:sz w:val="24"/>
          <w:szCs w:val="24"/>
        </w:rPr>
        <w:t xml:space="preserve"> de políticas </w:t>
      </w:r>
      <w:r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Lazzaretti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149F8B31"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melhor qualidade de vida para as pessoas, com ações que tragam responsabilidade social e sustentabilidade e melhorar os serviços prestados pelo poder público, é fundamental a utilização de TIC</w:t>
      </w:r>
      <w:r>
        <w:rPr>
          <w:rFonts w:ascii="Times New Roman" w:eastAsia="Times New Roman" w:hAnsi="Times New Roman" w:cs="Times New Roman"/>
          <w:sz w:val="24"/>
          <w:szCs w:val="24"/>
        </w:rPr>
        <w:t>, pois</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 xml:space="preserve">produzindo riquezas, pagando seus impostos, recebendo serviços prestados pelo </w:t>
      </w:r>
      <w:r w:rsidR="006B6259">
        <w:rPr>
          <w:rFonts w:ascii="Times New Roman" w:eastAsia="Times New Roman" w:hAnsi="Times New Roman" w:cs="Times New Roman"/>
          <w:sz w:val="24"/>
          <w:szCs w:val="24"/>
        </w:rPr>
        <w:lastRenderedPageBreak/>
        <w:t>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689F68F9"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as pessoas possam continuar vivendo no espaço adequadamente.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Gleick e Iceland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5598E2B7" w14:textId="2EC66F63" w:rsidR="00F34E94" w:rsidRDefault="00085FD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14:paraId="653E73E0" w14:textId="222AFD6F" w:rsidR="00F34E94"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iante da complexidade </w:t>
      </w:r>
      <w:r>
        <w:rPr>
          <w:rFonts w:ascii="Times New Roman" w:eastAsia="Times New Roman" w:hAnsi="Times New Roman" w:cs="Times New Roman"/>
          <w:sz w:val="24"/>
          <w:szCs w:val="24"/>
        </w:rPr>
        <w:t xml:space="preserve">que </w:t>
      </w:r>
      <w:r w:rsidR="006B6259">
        <w:rPr>
          <w:rFonts w:ascii="Times New Roman" w:eastAsia="Times New Roman" w:hAnsi="Times New Roman" w:cs="Times New Roman"/>
          <w:sz w:val="24"/>
          <w:szCs w:val="24"/>
        </w:rPr>
        <w:t>esta temática</w:t>
      </w:r>
      <w:r>
        <w:rPr>
          <w:rFonts w:ascii="Times New Roman" w:eastAsia="Times New Roman" w:hAnsi="Times New Roman" w:cs="Times New Roman"/>
          <w:sz w:val="24"/>
          <w:szCs w:val="24"/>
        </w:rPr>
        <w:t xml:space="preserve"> se apresenta</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questiona-se neste estudo se</w:t>
      </w:r>
      <w:r w:rsidR="006B6259">
        <w:rPr>
          <w:rFonts w:ascii="Times New Roman" w:eastAsia="Times New Roman" w:hAnsi="Times New Roman" w:cs="Times New Roman"/>
          <w:sz w:val="24"/>
          <w:szCs w:val="24"/>
        </w:rPr>
        <w:t xml:space="preserve"> os conceitos e aplicações sobre cidades inteligentes não poderiam ser úteis e adaptáveis no contexto de uma bacia hidrográfica para auxiliar na gestão de recursos hídricos em uma bacia hidrográfica</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27F039B5" w14:textId="297C4CD4" w:rsidR="00F34E94" w:rsidRDefault="00503CFE">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Pr>
          <w:rFonts w:ascii="Times New Roman" w:eastAsia="Times New Roman" w:hAnsi="Times New Roman" w:cs="Times New Roman"/>
          <w:b/>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00833437"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Kon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2D76611"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sidR="0028207E">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0DE7DEA"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Giffinger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dados,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572AF9E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expostas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of Things (IoT)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o termo Internet das Coisas (IoT),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6E013A95"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Para Carrion e Quaresma (2019</w:t>
      </w:r>
      <w:r w:rsidR="0098500F">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sidR="0098500F">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Protocol, ou Protocolo </w:t>
      </w:r>
      <w:r>
        <w:rPr>
          <w:rFonts w:ascii="Times New Roman" w:eastAsia="Times New Roman" w:hAnsi="Times New Roman" w:cs="Times New Roman"/>
        </w:rPr>
        <w:lastRenderedPageBreak/>
        <w:t>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a possibilidade de conexão de praticamente todos os objetos de nosso cotidiano, a importância atual da IoT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IoT pode permitir a comunicação entre pessoas e objetos e entre os próprios objetos. </w:t>
      </w:r>
    </w:p>
    <w:p w14:paraId="249C5FA4" w14:textId="311F570D"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IoT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o IoT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9F5C134"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r w:rsidR="008F7B66">
        <w:rPr>
          <w:rFonts w:ascii="Times New Roman" w:eastAsia="Times New Roman" w:hAnsi="Times New Roman" w:cs="Times New Roman"/>
          <w:sz w:val="24"/>
          <w:szCs w:val="24"/>
        </w:rPr>
        <w:t xml:space="preserve">Gandomi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sidR="006B6259">
        <w:rPr>
          <w:rFonts w:ascii="Times New Roman" w:eastAsia="Times New Roman" w:hAnsi="Times New Roman" w:cs="Times New Roman"/>
          <w:sz w:val="24"/>
          <w:szCs w:val="24"/>
        </w:rPr>
        <w:t xml:space="preserve"> os múltiplos terabytes e p</w:t>
      </w:r>
      <w:r w:rsidR="008F7B66">
        <w:rPr>
          <w:rFonts w:ascii="Times New Roman" w:eastAsia="Times New Roman" w:hAnsi="Times New Roman" w:cs="Times New Roman"/>
          <w:sz w:val="24"/>
          <w:szCs w:val="24"/>
        </w:rPr>
        <w:t xml:space="preserve">etabytes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599BBBF0" w14:textId="7A3F229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e 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trata da necessidade de enriquecer os dados brutos e </w:t>
      </w:r>
      <w:r>
        <w:rPr>
          <w:rFonts w:ascii="Times New Roman" w:eastAsia="Times New Roman" w:hAnsi="Times New Roman" w:cs="Times New Roman"/>
          <w:sz w:val="24"/>
          <w:szCs w:val="24"/>
        </w:rPr>
        <w:lastRenderedPageBreak/>
        <w:t>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4A02FEB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relacionados ao tráfego</w:t>
      </w:r>
      <w:r w:rsidR="00995820">
        <w:rPr>
          <w:rFonts w:ascii="Times New Roman" w:eastAsia="Times New Roman" w:hAnsi="Times New Roman" w:cs="Times New Roman"/>
          <w:sz w:val="24"/>
          <w:szCs w:val="24"/>
        </w:rPr>
        <w:t xml:space="preserve"> de veículos</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Taurion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63B5682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240CA8">
        <w:rPr>
          <w:rFonts w:ascii="Times New Roman" w:eastAsia="Times New Roman" w:hAnsi="Times New Roman" w:cs="Times New Roman"/>
          <w:sz w:val="24"/>
          <w:szCs w:val="24"/>
        </w:rPr>
        <w:t>co</w:t>
      </w:r>
      <w:r w:rsidR="00AA28E6">
        <w:rPr>
          <w:rFonts w:ascii="Times New Roman" w:eastAsia="Times New Roman" w:hAnsi="Times New Roman" w:cs="Times New Roman"/>
          <w:sz w:val="24"/>
          <w:szCs w:val="24"/>
        </w:rPr>
        <w:t>m a</w:t>
      </w:r>
      <w:r w:rsidRPr="006330EA">
        <w:rPr>
          <w:rFonts w:ascii="Times New Roman" w:eastAsia="Times New Roman" w:hAnsi="Times New Roman" w:cs="Times New Roman"/>
          <w:sz w:val="24"/>
          <w:szCs w:val="24"/>
        </w:rPr>
        <w:t xml:space="preserve"> qual </w:t>
      </w:r>
      <w:r w:rsidR="00AA28E6">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e, principalmente, onde e em quais servidores os dados e as informações estão ou serão armazenados. Para a execução deste modelo, 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centers. A partir desta junção de dados no centro de armazenamento, a infraestrutura e as aplicações,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lastRenderedPageBreak/>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4A155BA2"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w:t>
      </w:r>
      <w:r w:rsidR="007708C3">
        <w:rPr>
          <w:rFonts w:ascii="Times New Roman" w:eastAsia="Times New Roman" w:hAnsi="Times New Roman" w:cs="Times New Roman"/>
          <w:sz w:val="24"/>
          <w:szCs w:val="24"/>
        </w:rPr>
        <w:t>s</w:t>
      </w:r>
      <w:r w:rsidR="006B6259" w:rsidRPr="006330EA">
        <w:rPr>
          <w:rFonts w:ascii="Times New Roman" w:eastAsia="Times New Roman" w:hAnsi="Times New Roman" w:cs="Times New Roman"/>
          <w:sz w:val="24"/>
          <w:szCs w:val="24"/>
        </w:rPr>
        <w:t xml:space="preserve">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a segunda e quarta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3A8338FB"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7F3C133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e-Noé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0B4DE7" w:rsidRPr="006330EA">
        <w:rPr>
          <w:rFonts w:ascii="Times New Roman" w:eastAsia="Times New Roman" w:hAnsi="Times New Roman" w:cs="Times New Roman"/>
          <w:sz w:val="24"/>
          <w:szCs w:val="24"/>
        </w:rPr>
        <w:t xml:space="preserve">uma proposta de 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0916ED90"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lastRenderedPageBreak/>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que auxilia na preservação do ambiente físico, da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3DB6780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13FF6EF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lastRenderedPageBreak/>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WEISS; 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68FFA162" w14:textId="2A94110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Scanning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Segurança Pública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e-Noé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 xml:space="preserve">sensores sem fio submersos em diversos locais de rios </w:t>
            </w:r>
            <w:r w:rsidR="00407AFF" w:rsidRPr="006330EA">
              <w:rPr>
                <w:rFonts w:ascii="Times New Roman" w:eastAsia="Times New Roman" w:hAnsi="Times New Roman" w:cs="Times New Roman"/>
                <w:sz w:val="24"/>
                <w:szCs w:val="24"/>
              </w:rPr>
              <w:lastRenderedPageBreak/>
              <w:t>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BERNARDINI </w:t>
            </w:r>
            <w:r w:rsidRPr="006330EA">
              <w:rPr>
                <w:rFonts w:ascii="Times New Roman" w:eastAsia="Times New Roman" w:hAnsi="Times New Roman" w:cs="Times New Roman"/>
                <w:sz w:val="24"/>
                <w:szCs w:val="24"/>
              </w:rPr>
              <w:lastRenderedPageBreak/>
              <w:t xml:space="preserve">(2020) </w:t>
            </w:r>
          </w:p>
        </w:tc>
      </w:tr>
    </w:tbl>
    <w:p w14:paraId="5C5BB9DE" w14:textId="2FD56C55" w:rsidR="005046A3" w:rsidRDefault="00BA3B4F"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End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6F2CD13"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mudança climática e d</w:t>
      </w:r>
      <w:r w:rsidR="003B4E02">
        <w:rPr>
          <w:rFonts w:ascii="Times New Roman" w:eastAsia="Times New Roman" w:hAnsi="Times New Roman" w:cs="Times New Roman"/>
          <w:sz w:val="24"/>
          <w:szCs w:val="24"/>
        </w:rPr>
        <w:t>e uma provável</w:t>
      </w:r>
      <w:r w:rsidR="006B6259" w:rsidRPr="006330EA">
        <w:rPr>
          <w:rFonts w:ascii="Times New Roman" w:eastAsia="Times New Roman" w:hAnsi="Times New Roman" w:cs="Times New Roman"/>
          <w:sz w:val="24"/>
          <w:szCs w:val="24"/>
        </w:rPr>
        <w:t xml:space="preserve"> escassez de água.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2B5E3E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006B6259" w:rsidRPr="006330EA">
        <w:rPr>
          <w:rFonts w:ascii="Times New Roman" w:eastAsia="Times New Roman" w:hAnsi="Times New Roman" w:cs="Times New Roman"/>
          <w:sz w:val="24"/>
          <w:szCs w:val="24"/>
        </w:rPr>
        <w:t>, parte mais baixa do trecho do curso d'água principal.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7278CBE2"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493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w:t>
      </w:r>
      <w:r>
        <w:rPr>
          <w:rFonts w:ascii="Times New Roman" w:eastAsia="Times New Roman" w:hAnsi="Times New Roman" w:cs="Times New Roman"/>
          <w:sz w:val="24"/>
          <w:szCs w:val="24"/>
        </w:rPr>
        <w:lastRenderedPageBreak/>
        <w:t>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488D7151"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o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77777777"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 xml:space="preserve">Contudo, o assunto se tornou pauta nacional quase duas décadas depois, por conta da forte crise hídrica que assolou as principais regiões do estado de São Paulo (JOHNSSON, 2018). </w:t>
      </w:r>
    </w:p>
    <w:p w14:paraId="36F6EF6C" w14:textId="10849B23"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w:t>
      </w:r>
      <w:r w:rsidR="00595462">
        <w:rPr>
          <w:rFonts w:ascii="Times New Roman" w:eastAsia="Times New Roman" w:hAnsi="Times New Roman" w:cs="Times New Roman"/>
          <w:sz w:val="24"/>
          <w:szCs w:val="24"/>
        </w:rPr>
        <w:t>19</w:t>
      </w:r>
      <w:r w:rsidR="006B6259">
        <w:rPr>
          <w:rFonts w:ascii="Times New Roman" w:eastAsia="Times New Roman" w:hAnsi="Times New Roman" w:cs="Times New Roman"/>
          <w:sz w:val="24"/>
          <w:szCs w:val="24"/>
        </w:rPr>
        <w:t xml:space="preserve">de 97, quatro tópicos foram levantados e vistos como objetivos, sendo eles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047F8FCC" w:rsidR="00F34E94" w:rsidRDefault="006D7F6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w:t>
      </w:r>
      <w:r w:rsidR="003026E8">
        <w:rPr>
          <w:rFonts w:ascii="Times New Roman" w:eastAsia="Times New Roman" w:hAnsi="Times New Roman" w:cs="Times New Roman"/>
          <w:sz w:val="24"/>
          <w:szCs w:val="24"/>
        </w:rPr>
        <w:t>, finalmente, que</w:t>
      </w:r>
      <w:r w:rsidR="006B6259">
        <w:rPr>
          <w:rFonts w:ascii="Times New Roman" w:eastAsia="Times New Roman" w:hAnsi="Times New Roman" w:cs="Times New Roman"/>
          <w:sz w:val="24"/>
          <w:szCs w:val="24"/>
        </w:rPr>
        <w:t xml:space="preserve"> 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0C018EC1"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4B6AC378"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o que a água é não apenas necessária, mas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w:t>
      </w:r>
      <w:r w:rsidR="0056136A">
        <w:rPr>
          <w:rFonts w:ascii="Times New Roman" w:eastAsia="Times New Roman" w:hAnsi="Times New Roman" w:cs="Times New Roman"/>
          <w:sz w:val="24"/>
          <w:szCs w:val="24"/>
        </w:rPr>
        <w:lastRenderedPageBreak/>
        <w:t>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IoT</w:t>
      </w:r>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em 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que são também aplicações IoT.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IoT)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Horizon Scanning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w:t>
      </w:r>
      <w:r>
        <w:rPr>
          <w:rFonts w:ascii="Times New Roman" w:eastAsia="Times New Roman" w:hAnsi="Times New Roman" w:cs="Times New Roman"/>
          <w:sz w:val="24"/>
          <w:szCs w:val="24"/>
        </w:rPr>
        <w:lastRenderedPageBreak/>
        <w:t xml:space="preserve">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Risk Assessment and Horizon Scanning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9122DB">
        <w:rPr>
          <w:rFonts w:ascii="Times New Roman" w:eastAsia="Times New Roman" w:hAnsi="Times New Roman" w:cs="Times New Roman"/>
          <w:sz w:val="24"/>
          <w:szCs w:val="24"/>
        </w:rPr>
        <w:t>National Education Network (</w:t>
      </w:r>
      <w:r>
        <w:rPr>
          <w:rFonts w:ascii="Times New Roman" w:eastAsia="Times New Roman" w:hAnsi="Times New Roman" w:cs="Times New Roman"/>
          <w:sz w:val="24"/>
          <w:szCs w:val="24"/>
        </w:rPr>
        <w:t>NEdNet</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NEdNet,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Com o NEdNet</w:t>
      </w:r>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lastRenderedPageBreak/>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41A2D90A"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e-Noé é uma solução </w:t>
      </w:r>
      <w:r w:rsidR="008B5D3C">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composta por uma rede de sensores sem fio</w:t>
      </w:r>
      <w:r w:rsidR="00350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w:t>
      </w:r>
      <w:r w:rsidR="00012E7B">
        <w:rPr>
          <w:rFonts w:ascii="Times New Roman" w:eastAsia="Times New Roman" w:hAnsi="Times New Roman" w:cs="Times New Roman"/>
          <w:sz w:val="24"/>
          <w:szCs w:val="24"/>
        </w:rPr>
        <w:t xml:space="preserve">as </w:t>
      </w:r>
      <w:r w:rsidR="00263862">
        <w:rPr>
          <w:rFonts w:ascii="Times New Roman" w:eastAsia="Times New Roman" w:hAnsi="Times New Roman" w:cs="Times New Roman"/>
          <w:sz w:val="24"/>
          <w:szCs w:val="24"/>
        </w:rPr>
        <w:t>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5DABD1A0"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ficam</w:t>
      </w:r>
      <w:r>
        <w:rPr>
          <w:rFonts w:ascii="Times New Roman" w:eastAsia="Times New Roman" w:hAnsi="Times New Roman" w:cs="Times New Roman"/>
          <w:sz w:val="24"/>
          <w:szCs w:val="24"/>
        </w:rPr>
        <w:t xml:space="preserve"> reunidos em data centers e são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funcionamentos di</w:t>
      </w:r>
      <w:r w:rsidR="00257E54">
        <w:rPr>
          <w:rFonts w:ascii="Times New Roman" w:eastAsia="Times New Roman" w:hAnsi="Times New Roman" w:cs="Times New Roman"/>
          <w:sz w:val="24"/>
          <w:szCs w:val="24"/>
        </w:rPr>
        <w:t>stintos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42215A9F"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TIC’s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w:t>
      </w:r>
      <w:r>
        <w:rPr>
          <w:rFonts w:ascii="Times New Roman" w:eastAsia="Times New Roman" w:hAnsi="Times New Roman" w:cs="Times New Roman"/>
          <w:sz w:val="24"/>
          <w:szCs w:val="24"/>
        </w:rPr>
        <w:lastRenderedPageBreak/>
        <w:t xml:space="preserve">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w:t>
      </w:r>
      <w:r w:rsidR="00377D5F">
        <w:rPr>
          <w:rFonts w:ascii="Times New Roman" w:eastAsia="Times New Roman" w:hAnsi="Times New Roman" w:cs="Times New Roman"/>
          <w:sz w:val="24"/>
          <w:szCs w:val="24"/>
        </w:rPr>
        <w:t xml:space="preserve">avaliada </w:t>
      </w:r>
      <w:r>
        <w:rPr>
          <w:rFonts w:ascii="Times New Roman" w:eastAsia="Times New Roman" w:hAnsi="Times New Roman" w:cs="Times New Roman"/>
          <w:sz w:val="24"/>
          <w:szCs w:val="24"/>
        </w:rPr>
        <w:t>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 a partir da coleta, recebimento e análise das informações disponíveis no espaço territorial. </w:t>
      </w:r>
    </w:p>
    <w:p w14:paraId="42D8CE8D" w14:textId="5E00A6EC"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base de dados captada e armazenada, várias análises poderiam ser feitas, gerando informações e subsídios para auxiliar </w:t>
      </w:r>
      <w:r w:rsidR="00FD35BE">
        <w:rPr>
          <w:rFonts w:ascii="Times New Roman" w:eastAsia="Times New Roman" w:hAnsi="Times New Roman" w:cs="Times New Roman"/>
          <w:sz w:val="24"/>
          <w:szCs w:val="24"/>
        </w:rPr>
        <w:t xml:space="preserve">com </w:t>
      </w:r>
      <w:r>
        <w:rPr>
          <w:rFonts w:ascii="Times New Roman" w:eastAsia="Times New Roman" w:hAnsi="Times New Roman" w:cs="Times New Roman"/>
          <w:sz w:val="24"/>
          <w:szCs w:val="24"/>
        </w:rPr>
        <w:t>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como IoT,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6B7236FD"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 xml:space="preserve">aplicações presentes em cidades inteligentes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 outra 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0CE8E0F8" w14:textId="236E2099"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P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r w:rsidRPr="00686A04">
        <w:rPr>
          <w:rFonts w:ascii="Times New Roman" w:eastAsia="Times New Roman" w:hAnsi="Times New Roman" w:cs="Times New Roman"/>
          <w:b/>
          <w:lang w:val="en-US"/>
        </w:rPr>
        <w:t>Política Nacional de Recursos Hídricos</w:t>
      </w:r>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 xml:space="preserve">isponível em &lt;https://www.planalto.gov.br/ccivil_03/leis/l9433.htm&gt;. </w:t>
      </w:r>
      <w:r>
        <w:rPr>
          <w:rFonts w:ascii="Times New Roman" w:eastAsia="Times New Roman" w:hAnsi="Times New Roman" w:cs="Times New Roman"/>
        </w:rPr>
        <w:t>Acesso em: 05 set. 2023.</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&lt;https://sol.sbc.org.br/index.php/sbsi/article/view/6147&gt;.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Acta Scientiarum Human and Social Science</w:t>
      </w:r>
      <w:r w:rsidRPr="00C0094C">
        <w:rPr>
          <w:rFonts w:ascii="Times New Roman" w:eastAsia="Times New Roman" w:hAnsi="Times New Roman" w:cs="Times New Roman"/>
        </w:rPr>
        <w:t>, 2008, DOI: 10.4025/actascihumansoc.v26i2.1391.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686A0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(IoT):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r w:rsidRPr="00580BDA">
        <w:rPr>
          <w:rFonts w:ascii="Times New Roman" w:eastAsia="Times New Roman" w:hAnsi="Times New Roman" w:cs="Times New Roman"/>
          <w:lang w:val="en-US"/>
        </w:rPr>
        <w:t xml:space="preserve">Disponível em: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Izabella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r w:rsidRPr="003503BB">
        <w:rPr>
          <w:rFonts w:ascii="Times New Roman" w:eastAsia="Times New Roman" w:hAnsi="Times New Roman" w:cs="Times New Roman"/>
          <w:b/>
          <w:bCs/>
        </w:rPr>
        <w:t>Liinc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1">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r w:rsidRPr="001F435E">
        <w:rPr>
          <w:rFonts w:ascii="Times New Roman" w:eastAsia="Times New Roman" w:hAnsi="Times New Roman" w:cs="Times New Roman"/>
          <w:lang w:val="en-US"/>
        </w:rPr>
        <w:t>Acesso em: 16 jan.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r w:rsidRPr="003A0C87">
        <w:rPr>
          <w:rFonts w:ascii="Times New Roman" w:eastAsia="Times New Roman" w:hAnsi="Times New Roman" w:cs="Times New Roman"/>
          <w:bCs/>
          <w:lang w:val="en-US"/>
        </w:rPr>
        <w:t>Linked'Big'Data: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932411" w:rsidRDefault="006B6259">
      <w:pPr>
        <w:shd w:val="clear" w:color="auto" w:fill="FFFFFF"/>
        <w:spacing w:after="0" w:line="240" w:lineRule="auto"/>
        <w:rPr>
          <w:rFonts w:ascii="Times New Roman" w:eastAsia="Times New Roman" w:hAnsi="Times New Roman" w:cs="Times New Roman"/>
        </w:rPr>
      </w:pPr>
      <w:r w:rsidRPr="00932411">
        <w:rPr>
          <w:rFonts w:ascii="Times New Roman" w:eastAsia="Times New Roman" w:hAnsi="Times New Roman" w:cs="Times New Roman"/>
        </w:rPr>
        <w:t xml:space="preserve">GANDOMI, Amir; HAIDER, Murtaza.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r w:rsidRPr="00932411">
        <w:rPr>
          <w:rFonts w:ascii="Times New Roman" w:eastAsia="Times New Roman" w:hAnsi="Times New Roman" w:cs="Times New Roman"/>
          <w:b/>
          <w:bCs/>
        </w:rPr>
        <w:t>International journal of information management</w:t>
      </w:r>
      <w:r w:rsidRPr="00932411">
        <w:rPr>
          <w:rFonts w:ascii="Times New Roman" w:eastAsia="Times New Roman" w:hAnsi="Times New Roman" w:cs="Times New Roman"/>
        </w:rPr>
        <w:t>, v. 35, n. 2, p. 137-144, 2015.</w:t>
      </w:r>
      <w:r w:rsidR="003D7CC7" w:rsidRPr="00932411">
        <w:rPr>
          <w:rFonts w:ascii="Times New Roman" w:eastAsia="Times New Roman" w:hAnsi="Times New Roman" w:cs="Times New Roman"/>
        </w:rPr>
        <w:t xml:space="preserve"> </w:t>
      </w:r>
      <w:r w:rsidRPr="00932411">
        <w:rPr>
          <w:rFonts w:ascii="Times New Roman" w:eastAsia="Times New Roman" w:hAnsi="Times New Roman" w:cs="Times New Roman"/>
        </w:rPr>
        <w:t>Disponível em: &lt;https://doi.org/10.1016/j.ijinfomgt.2014.10.007&gt;. Acesso em: 02 abr. 2023.</w:t>
      </w:r>
    </w:p>
    <w:p w14:paraId="524D35FD" w14:textId="77777777" w:rsidR="00F34E94" w:rsidRPr="00932411" w:rsidRDefault="00F34E94">
      <w:pPr>
        <w:shd w:val="clear" w:color="auto" w:fill="FFFFFF"/>
        <w:spacing w:after="0" w:line="240" w:lineRule="auto"/>
        <w:rPr>
          <w:rFonts w:ascii="Times New Roman" w:eastAsia="Times New Roman" w:hAnsi="Times New Roman" w:cs="Times New Roman"/>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 xml:space="preserve">Smart cities-ranking of european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Antonio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Crisomar Lobo de; SERRALVO, Francisco Antonio.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Cadernos Ebape</w:t>
      </w:r>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KRISHNAMACHARI, Bhaskar; POWER, Jerry; KIM, Seon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Kellen; SEHNEM, Simone; BENCKE, Fernando Fantoni; MACHADO, Hilka Pelizza.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De que forma as novas tecnologias - como a computação em nuvem, o Big Data e a internet Das coisas - podem melhorar a condição de vida nos espaços urbanos?</w:t>
      </w:r>
      <w:r>
        <w:rPr>
          <w:rFonts w:ascii="Times New Roman" w:eastAsia="Times New Roman" w:hAnsi="Times New Roman" w:cs="Times New Roman"/>
        </w:rPr>
        <w:t xml:space="preserve">. </w:t>
      </w:r>
      <w:r w:rsidRPr="00C71520">
        <w:rPr>
          <w:rFonts w:ascii="Times New Roman" w:eastAsia="Times New Roman" w:hAnsi="Times New Roman" w:cs="Times New Roman"/>
          <w:b/>
          <w:bCs/>
          <w:lang w:val="en-US"/>
        </w:rPr>
        <w:t>Revista GV-EXECUTIVO - Fundação Getúlio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Conceptualizing smart city with dimensions of technology, people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Laina.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Javam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Cloud computing-computação em nuvem</w:t>
      </w:r>
      <w:r>
        <w:rPr>
          <w:rFonts w:ascii="Times New Roman" w:eastAsia="Times New Roman" w:hAnsi="Times New Roman" w:cs="Times New Roman"/>
        </w:rPr>
        <w:t>. Brasport,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Iost; TEIXEIRA, Denilson; COSTA, Daniel Jadyr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&lt;https://doi.org/10.25061/2527-2675/ReBraM/2007.v11i1.236&gt;. </w:t>
      </w:r>
      <w:r w:rsidRPr="009B5475">
        <w:rPr>
          <w:rFonts w:ascii="Times New Roman" w:eastAsia="Times New Roman" w:hAnsi="Times New Roman" w:cs="Times New Roman"/>
          <w:lang w:val="en-US"/>
        </w:rPr>
        <w:t>Acesso em: 12 jan.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The Innovation Knowledge Foundation</w:t>
      </w:r>
      <w:r w:rsidRPr="00686A04">
        <w:rPr>
          <w:rFonts w:ascii="Times New Roman" w:eastAsia="Times New Roman" w:hAnsi="Times New Roman" w:cs="Times New Roman"/>
        </w:rPr>
        <w:t>, 2010.</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reimpr.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&lt;https://pesquisa.bvsalud.org/portal/resource/pt/lil-383410&gt;. </w:t>
      </w:r>
      <w:r w:rsidRPr="00686A04">
        <w:rPr>
          <w:rFonts w:ascii="Times New Roman" w:eastAsia="Times New Roman" w:hAnsi="Times New Roman" w:cs="Times New Roman"/>
          <w:lang w:val="en-US"/>
        </w:rPr>
        <w:t>Acesso em: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r w:rsidRPr="00FD528D">
        <w:rPr>
          <w:rFonts w:ascii="Times New Roman" w:eastAsia="Times New Roman" w:hAnsi="Times New Roman" w:cs="Times New Roman"/>
          <w:b/>
          <w:bCs/>
          <w:lang w:val="en-US"/>
        </w:rPr>
        <w:t>arXiv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932411"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r w:rsidRPr="00932411">
        <w:rPr>
          <w:rFonts w:ascii="Times New Roman" w:eastAsia="Times New Roman" w:hAnsi="Times New Roman" w:cs="Times New Roman"/>
        </w:rPr>
        <w:t>Acesso em: 29 abr. 2023.</w:t>
      </w:r>
    </w:p>
    <w:p w14:paraId="3710DF28" w14:textId="77777777" w:rsidR="00F34E94" w:rsidRPr="00932411" w:rsidRDefault="00F34E94">
      <w:pPr>
        <w:shd w:val="clear" w:color="auto" w:fill="FFFFFF"/>
        <w:spacing w:after="0" w:line="240" w:lineRule="auto"/>
        <w:rPr>
          <w:rFonts w:ascii="Times New Roman" w:eastAsia="Times New Roman" w:hAnsi="Times New Roman" w:cs="Times New Roman"/>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932411">
        <w:rPr>
          <w:rFonts w:ascii="Times New Roman" w:eastAsia="Times New Roman" w:hAnsi="Times New Roman" w:cs="Times New Roman"/>
        </w:rPr>
        <w:t xml:space="preserve">YIGITCANLAR, T.; KAMRUZZAMAN, M.; BUYS, L.; IOPPOLO, G.; SABATINI-MARQUes, J., da Costa, M.; YUN, J. J. </w:t>
      </w:r>
      <w:r w:rsidRPr="00932411">
        <w:rPr>
          <w:rFonts w:ascii="Times New Roman" w:eastAsia="Times New Roman" w:hAnsi="Times New Roman" w:cs="Times New Roman"/>
          <w:bCs/>
        </w:rPr>
        <w:t>Understanding ‘smart cities’: Intertwining development drivers with desired outcomes in a multidimensional framework</w:t>
      </w:r>
      <w:r w:rsidRPr="00932411">
        <w:rPr>
          <w:rFonts w:ascii="Times New Roman" w:eastAsia="Times New Roman" w:hAnsi="Times New Roman" w:cs="Times New Roman"/>
        </w:rPr>
        <w:t xml:space="preserve">. </w:t>
      </w:r>
      <w:r w:rsidRPr="008A1BF2">
        <w:rPr>
          <w:rFonts w:ascii="Times New Roman" w:eastAsia="Times New Roman" w:hAnsi="Times New Roman" w:cs="Times New Roman"/>
          <w:b/>
          <w:bCs/>
        </w:rPr>
        <w:t>Cities</w:t>
      </w:r>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1FCA2" w14:textId="77777777" w:rsidR="00BA3B4F" w:rsidRDefault="00BA3B4F">
      <w:pPr>
        <w:spacing w:after="0" w:line="240" w:lineRule="auto"/>
      </w:pPr>
      <w:r>
        <w:separator/>
      </w:r>
    </w:p>
  </w:endnote>
  <w:endnote w:type="continuationSeparator" w:id="0">
    <w:p w14:paraId="4B641756" w14:textId="77777777" w:rsidR="00BA3B4F" w:rsidRDefault="00BA3B4F">
      <w:pPr>
        <w:spacing w:after="0" w:line="240" w:lineRule="auto"/>
      </w:pPr>
      <w:r>
        <w:continuationSeparator/>
      </w:r>
    </w:p>
  </w:endnote>
  <w:endnote w:type="continuationNotice" w:id="1">
    <w:p w14:paraId="03C6BDCA" w14:textId="77777777" w:rsidR="00BA3B4F" w:rsidRDefault="00BA3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9EBE7" w14:textId="77777777" w:rsidR="00BA3B4F" w:rsidRDefault="00BA3B4F">
      <w:pPr>
        <w:spacing w:after="0" w:line="240" w:lineRule="auto"/>
      </w:pPr>
      <w:r>
        <w:separator/>
      </w:r>
    </w:p>
  </w:footnote>
  <w:footnote w:type="continuationSeparator" w:id="0">
    <w:p w14:paraId="0493EFCE" w14:textId="77777777" w:rsidR="00BA3B4F" w:rsidRDefault="00BA3B4F">
      <w:pPr>
        <w:spacing w:after="0" w:line="240" w:lineRule="auto"/>
      </w:pPr>
      <w:r>
        <w:continuationSeparator/>
      </w:r>
    </w:p>
  </w:footnote>
  <w:footnote w:type="continuationNotice" w:id="1">
    <w:p w14:paraId="11AB65D1" w14:textId="77777777" w:rsidR="00BA3B4F" w:rsidRDefault="00BA3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2"/>
  </w:num>
  <w:num w:numId="4">
    <w:abstractNumId w:val="8"/>
  </w:num>
  <w:num w:numId="5">
    <w:abstractNumId w:val="15"/>
  </w:num>
  <w:num w:numId="6">
    <w:abstractNumId w:val="5"/>
  </w:num>
  <w:num w:numId="7">
    <w:abstractNumId w:val="3"/>
  </w:num>
  <w:num w:numId="8">
    <w:abstractNumId w:val="1"/>
  </w:num>
  <w:num w:numId="9">
    <w:abstractNumId w:val="17"/>
  </w:num>
  <w:num w:numId="10">
    <w:abstractNumId w:val="11"/>
  </w:num>
  <w:num w:numId="11">
    <w:abstractNumId w:val="19"/>
  </w:num>
  <w:num w:numId="12">
    <w:abstractNumId w:val="18"/>
  </w:num>
  <w:num w:numId="13">
    <w:abstractNumId w:val="14"/>
  </w:num>
  <w:num w:numId="14">
    <w:abstractNumId w:val="4"/>
  </w:num>
  <w:num w:numId="15">
    <w:abstractNumId w:val="10"/>
  </w:num>
  <w:num w:numId="16">
    <w:abstractNumId w:val="16"/>
  </w:num>
  <w:num w:numId="17">
    <w:abstractNumId w:val="12"/>
  </w:num>
  <w:num w:numId="18">
    <w:abstractNumId w:val="20"/>
  </w:num>
  <w:num w:numId="19">
    <w:abstractNumId w:val="9"/>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419"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F34E94"/>
    <w:rsid w:val="00006273"/>
    <w:rsid w:val="00012E7B"/>
    <w:rsid w:val="000202A3"/>
    <w:rsid w:val="0002111E"/>
    <w:rsid w:val="000227DD"/>
    <w:rsid w:val="000238CC"/>
    <w:rsid w:val="00024E20"/>
    <w:rsid w:val="000255DB"/>
    <w:rsid w:val="0003263E"/>
    <w:rsid w:val="00033FB5"/>
    <w:rsid w:val="00036C49"/>
    <w:rsid w:val="0004413A"/>
    <w:rsid w:val="00075938"/>
    <w:rsid w:val="00084FFE"/>
    <w:rsid w:val="00085FD9"/>
    <w:rsid w:val="000A12BD"/>
    <w:rsid w:val="000B4DE7"/>
    <w:rsid w:val="000C6500"/>
    <w:rsid w:val="000E1453"/>
    <w:rsid w:val="00112CD9"/>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22"/>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4560"/>
    <w:rsid w:val="00315749"/>
    <w:rsid w:val="00327F19"/>
    <w:rsid w:val="003303C4"/>
    <w:rsid w:val="003309D3"/>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755B6"/>
    <w:rsid w:val="0047671C"/>
    <w:rsid w:val="0047729A"/>
    <w:rsid w:val="00493DFE"/>
    <w:rsid w:val="004B28D1"/>
    <w:rsid w:val="004C10B1"/>
    <w:rsid w:val="004C6D56"/>
    <w:rsid w:val="004D2644"/>
    <w:rsid w:val="004E01AD"/>
    <w:rsid w:val="004E7217"/>
    <w:rsid w:val="004F30A9"/>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A1C40"/>
    <w:rsid w:val="005A67B2"/>
    <w:rsid w:val="005B0B6D"/>
    <w:rsid w:val="005B2C3D"/>
    <w:rsid w:val="005C6F85"/>
    <w:rsid w:val="005D0F22"/>
    <w:rsid w:val="005D1633"/>
    <w:rsid w:val="005E2E2D"/>
    <w:rsid w:val="00601C97"/>
    <w:rsid w:val="00607927"/>
    <w:rsid w:val="006330EA"/>
    <w:rsid w:val="006343A3"/>
    <w:rsid w:val="0063642F"/>
    <w:rsid w:val="006418E1"/>
    <w:rsid w:val="00646825"/>
    <w:rsid w:val="006561FF"/>
    <w:rsid w:val="006618FD"/>
    <w:rsid w:val="00661AB1"/>
    <w:rsid w:val="00686A04"/>
    <w:rsid w:val="006878CC"/>
    <w:rsid w:val="0069173D"/>
    <w:rsid w:val="00695DB0"/>
    <w:rsid w:val="006A7CF6"/>
    <w:rsid w:val="006B6259"/>
    <w:rsid w:val="006D7F6B"/>
    <w:rsid w:val="006E2306"/>
    <w:rsid w:val="006E26DC"/>
    <w:rsid w:val="006F4B2B"/>
    <w:rsid w:val="006F5EAE"/>
    <w:rsid w:val="007055C8"/>
    <w:rsid w:val="00707222"/>
    <w:rsid w:val="00715E38"/>
    <w:rsid w:val="00716C0E"/>
    <w:rsid w:val="00740A30"/>
    <w:rsid w:val="00744D47"/>
    <w:rsid w:val="00750BE3"/>
    <w:rsid w:val="00752C5C"/>
    <w:rsid w:val="00754DDF"/>
    <w:rsid w:val="00763D30"/>
    <w:rsid w:val="007708C3"/>
    <w:rsid w:val="0077292E"/>
    <w:rsid w:val="00772D6C"/>
    <w:rsid w:val="00774443"/>
    <w:rsid w:val="00780F68"/>
    <w:rsid w:val="00781072"/>
    <w:rsid w:val="007B073D"/>
    <w:rsid w:val="007B5B62"/>
    <w:rsid w:val="007D2D06"/>
    <w:rsid w:val="007E7744"/>
    <w:rsid w:val="007F0645"/>
    <w:rsid w:val="007F0D72"/>
    <w:rsid w:val="008130F8"/>
    <w:rsid w:val="00820E37"/>
    <w:rsid w:val="0083598C"/>
    <w:rsid w:val="00841254"/>
    <w:rsid w:val="008515FC"/>
    <w:rsid w:val="00855FD0"/>
    <w:rsid w:val="00857330"/>
    <w:rsid w:val="00860A7A"/>
    <w:rsid w:val="0086117C"/>
    <w:rsid w:val="008649EB"/>
    <w:rsid w:val="0087762C"/>
    <w:rsid w:val="008A0A2A"/>
    <w:rsid w:val="008A1BF2"/>
    <w:rsid w:val="008A697F"/>
    <w:rsid w:val="008B146B"/>
    <w:rsid w:val="008B1D83"/>
    <w:rsid w:val="008B53CC"/>
    <w:rsid w:val="008B5D3C"/>
    <w:rsid w:val="008B76BE"/>
    <w:rsid w:val="008C299A"/>
    <w:rsid w:val="008E47EA"/>
    <w:rsid w:val="008E711D"/>
    <w:rsid w:val="008F7B66"/>
    <w:rsid w:val="009122DB"/>
    <w:rsid w:val="009143EF"/>
    <w:rsid w:val="00914C70"/>
    <w:rsid w:val="00924940"/>
    <w:rsid w:val="009261BD"/>
    <w:rsid w:val="00932411"/>
    <w:rsid w:val="00935D06"/>
    <w:rsid w:val="00936A41"/>
    <w:rsid w:val="009447A7"/>
    <w:rsid w:val="0094622E"/>
    <w:rsid w:val="00953664"/>
    <w:rsid w:val="0097145A"/>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A28E6"/>
    <w:rsid w:val="00AB6C10"/>
    <w:rsid w:val="00AC2526"/>
    <w:rsid w:val="00AC3004"/>
    <w:rsid w:val="00AC44C3"/>
    <w:rsid w:val="00AD5EC8"/>
    <w:rsid w:val="00AE66BD"/>
    <w:rsid w:val="00AF3605"/>
    <w:rsid w:val="00AF4587"/>
    <w:rsid w:val="00B01C79"/>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932E2"/>
    <w:rsid w:val="00B944AE"/>
    <w:rsid w:val="00B96ED3"/>
    <w:rsid w:val="00BA33E2"/>
    <w:rsid w:val="00BA3B4F"/>
    <w:rsid w:val="00BB3C48"/>
    <w:rsid w:val="00BB404C"/>
    <w:rsid w:val="00BD2CF5"/>
    <w:rsid w:val="00BE70DE"/>
    <w:rsid w:val="00BF4DB0"/>
    <w:rsid w:val="00C0094C"/>
    <w:rsid w:val="00C14412"/>
    <w:rsid w:val="00C205E7"/>
    <w:rsid w:val="00C22D3D"/>
    <w:rsid w:val="00C27084"/>
    <w:rsid w:val="00C27833"/>
    <w:rsid w:val="00C311B8"/>
    <w:rsid w:val="00C3176B"/>
    <w:rsid w:val="00C323B2"/>
    <w:rsid w:val="00C32CF9"/>
    <w:rsid w:val="00C51D84"/>
    <w:rsid w:val="00C56123"/>
    <w:rsid w:val="00C71520"/>
    <w:rsid w:val="00C729F2"/>
    <w:rsid w:val="00C75E09"/>
    <w:rsid w:val="00C84A81"/>
    <w:rsid w:val="00C86382"/>
    <w:rsid w:val="00CA4B44"/>
    <w:rsid w:val="00CD6B02"/>
    <w:rsid w:val="00CE2D4F"/>
    <w:rsid w:val="00CE55E9"/>
    <w:rsid w:val="00CF3095"/>
    <w:rsid w:val="00D01B52"/>
    <w:rsid w:val="00D12C5A"/>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73B3"/>
    <w:rsid w:val="00DB7AB2"/>
    <w:rsid w:val="00DD0F03"/>
    <w:rsid w:val="00DD1BD0"/>
    <w:rsid w:val="00DD7590"/>
    <w:rsid w:val="00DE24A0"/>
    <w:rsid w:val="00DE6050"/>
    <w:rsid w:val="00DF036B"/>
    <w:rsid w:val="00E147C8"/>
    <w:rsid w:val="00E2243A"/>
    <w:rsid w:val="00E24AAE"/>
    <w:rsid w:val="00E3023A"/>
    <w:rsid w:val="00E36DA2"/>
    <w:rsid w:val="00E43D50"/>
    <w:rsid w:val="00E53621"/>
    <w:rsid w:val="00E60118"/>
    <w:rsid w:val="00E73C55"/>
    <w:rsid w:val="00E765F4"/>
    <w:rsid w:val="00E7747E"/>
    <w:rsid w:val="00E92854"/>
    <w:rsid w:val="00E968B6"/>
    <w:rsid w:val="00EB11B9"/>
    <w:rsid w:val="00EB2691"/>
    <w:rsid w:val="00EC31B1"/>
    <w:rsid w:val="00EC7DDB"/>
    <w:rsid w:val="00EE61ED"/>
    <w:rsid w:val="00F12C6A"/>
    <w:rsid w:val="00F24FC0"/>
    <w:rsid w:val="00F250B8"/>
    <w:rsid w:val="00F34E94"/>
    <w:rsid w:val="00F406CB"/>
    <w:rsid w:val="00F65B21"/>
    <w:rsid w:val="00F70182"/>
    <w:rsid w:val="00F84CEB"/>
    <w:rsid w:val="00F85294"/>
    <w:rsid w:val="00F85E6D"/>
    <w:rsid w:val="00F90FF4"/>
    <w:rsid w:val="00F92652"/>
    <w:rsid w:val="00F945A4"/>
    <w:rsid w:val="00F95D10"/>
    <w:rsid w:val="00F971BE"/>
    <w:rsid w:val="00F974FC"/>
    <w:rsid w:val="00F97E0E"/>
    <w:rsid w:val="00FA7DFC"/>
    <w:rsid w:val="00FB1C52"/>
    <w:rsid w:val="00FB2212"/>
    <w:rsid w:val="00FB232C"/>
    <w:rsid w:val="00FC1F01"/>
    <w:rsid w:val="00FC4033"/>
    <w:rsid w:val="00FD1100"/>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8617/liinc.v15i2.476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x.doi.org/10.1080/10630732.2011.60111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50FEE9-7712-4E2B-9336-ACFA3E5C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7846</Words>
  <Characters>42374</Characters>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2023-07-06T12:33:00Z</dcterms:created>
  <dcterms:modified xsi:type="dcterms:W3CDTF">2023-07-06T12:34:00Z</dcterms:modified>
</cp:coreProperties>
</file>