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2B4C"/>
          <w:sz w:val="30"/>
          <w:szCs w:val="30"/>
        </w:rPr>
        <w:t xml:space="preserve">Reporte Analítico — Market360 E-Commerce Analytics</w:t>
      </w:r>
    </w:p>
    <w:p>
      <w:pPr>
        <w:pBdr>
          <w:bottom w:val="single" w:color="E8621A" w:sz="6"/>
        </w:pBdr>
        <w:spacing w:after="40"/>
        <w:jc w:val="center"/>
      </w:pPr>
      <w:r>
        <w:rPr>
          <w:i/>
          <w:iCs/>
          <w:color w:val="5A6B85"/>
          <w:sz w:val="18"/>
          <w:szCs w:val="18"/>
        </w:rPr>
        <w:t xml:space="preserve">Data Insight Consulting · Proyecto Integrador · Actividad 5</w:t>
      </w:r>
    </w:p>
    <w:p>
      <w:pPr>
        <w:spacing w:after="160"/>
      </w:pPr>
      <w:r>
        <w:rPr>
          <w:sz w:val="4"/>
          <w:szCs w:val="4"/>
        </w:rPr>
        <w:t xml:space="preserve"> </w:t>
      </w:r>
    </w:p>
    <w:p>
      <w:pPr>
        <w:pStyle w:val="Heading1"/>
        <w:spacing w:after="110" w:before="220"/>
      </w:pPr>
      <w:r>
        <w:rPr>
          <w:b/>
          <w:bCs/>
          <w:color w:val="1A2B4C"/>
          <w:sz w:val="26"/>
          <w:szCs w:val="26"/>
        </w:rPr>
        <w:t xml:space="preserve">1. Introducción</w:t>
      </w:r>
    </w:p>
    <w:p>
      <w:pPr>
        <w:spacing w:after="110" w:line="268"/>
      </w:pPr>
      <w:r>
        <w:rPr>
          <w:sz w:val="20"/>
          <w:szCs w:val="20"/>
        </w:rPr>
        <w:t xml:space="preserve">Este reporte resume los hallazgos del análisis exploratorio de la base transaccional de Market360 (dataset Olist), combinando cifras globales, desglose por categoría y evolución mensual, para orientar decisiones sobre los cuatro problemas de negocio del caso.</w:t>
      </w:r>
    </w:p>
    <w:p>
      <w:pPr>
        <w:pStyle w:val="Heading1"/>
        <w:spacing w:after="110" w:before="220"/>
      </w:pPr>
      <w:r>
        <w:rPr>
          <w:b/>
          <w:bCs/>
          <w:color w:val="1A2B4C"/>
          <w:sz w:val="26"/>
          <w:szCs w:val="26"/>
        </w:rPr>
        <w:t xml:space="preserve">2. Hallazgos Principales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rPr>
          <w:tblHeader/>
        </w:trPr>
        <w:tc>
          <w:tcPr>
            <w:tcW w:type="dxa" w:w="4200"/>
            <w:shd w:fill="1A2B4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4200"/>
            <w:shd w:fill="1A2B4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 de ventas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98,207 pedidos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Monto total vendido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$160,088,872.12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Ticket promedio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$160.99</w:t>
            </w:r>
          </w:p>
        </w:tc>
      </w:tr>
    </w:tbl>
    <w:p>
      <w:pPr>
        <w:spacing w:after="110" w:line="268"/>
      </w:pPr>
      <w:r>
        <w:rPr>
          <w:sz w:val="20"/>
          <w:szCs w:val="20"/>
        </w:rPr>
        <w:t xml:space="preserve"/>
      </w:r>
    </w:p>
    <w:p>
      <w:pPr>
        <w:spacing w:after="110" w:line="268"/>
      </w:pPr>
      <w:r>
        <w:rPr>
          <w:b/>
          <w:bCs/>
          <w:sz w:val="20"/>
          <w:szCs w:val="20"/>
        </w:rPr>
        <w:t xml:space="preserve">Categorías. </w:t>
      </w:r>
      <w:r>
        <w:rPr>
          <w:sz w:val="20"/>
          <w:szCs w:val="20"/>
        </w:rPr>
        <w:t xml:space="preserve">beleza_saude y relogios_presentes lideran en ingreso. cama_mesa_banho vende más unidades (11,115) pero con ticket bajo (~$93); relogios_presentes mueve menos volumen pero es la categoría premium (~$201 por ítem) — dos estrategias comerciales distintas conviven en el top 10.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600"/>
      </w:tblGrid>
      <w:tr>
        <w:trPr>
          <w:tblHeader/>
        </w:trPr>
        <w:tc>
          <w:tcPr>
            <w:tcW w:type="dxa" w:w="3600"/>
            <w:shd w:fill="1A2B4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2200"/>
            <w:shd w:fill="1A2B4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Ítems</w:t>
            </w:r>
          </w:p>
        </w:tc>
        <w:tc>
          <w:tcPr>
            <w:tcW w:type="dxa" w:w="2600"/>
            <w:shd w:fill="1A2B4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Ingreso total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beleza_saude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9,670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$1,258,681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relogios_presentes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5,991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$1,205,006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cama_mesa_banho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11,115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$1,036,989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esporte_lazer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8,641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$988,049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informatica_acessorios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7,827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$911,954</w:t>
            </w:r>
          </w:p>
        </w:tc>
      </w:tr>
    </w:tbl>
    <w:p>
      <w:pPr>
        <w:spacing w:after="110" w:line="268"/>
      </w:pPr>
      <w:r>
        <w:rPr>
          <w:sz w:val="20"/>
          <w:szCs w:val="20"/>
        </w:rPr>
        <w:t xml:space="preserve"/>
      </w:r>
    </w:p>
    <w:p>
      <w:pPr>
        <w:spacing w:after="110" w:line="268"/>
      </w:pPr>
      <w:r>
        <w:rPr>
          <w:b/>
          <w:bCs/>
          <w:sz w:val="20"/>
          <w:szCs w:val="20"/>
        </w:rPr>
        <w:t xml:space="preserve">Evolución temporal. </w:t>
      </w:r>
      <w:r>
        <w:rPr>
          <w:sz w:val="20"/>
          <w:szCs w:val="20"/>
        </w:rPr>
        <w:t xml:space="preserve">2016 es fase piloto (actividad casi nula, no declive real). El crecimiento sostenido inicia en 2017, con pico de +52% en noviembre 2017 (Black Friday) y caída estacional normal en diciembre. 2018 se estabiliza entre $838K-$994K/mes. Septiembre 2018 cae -99.98% por corte del dataset a mitad de mes, no por una caída de ventas real.</w:t>
      </w:r>
    </w:p>
    <w:p>
      <w:pPr>
        <w:pStyle w:val="Heading1"/>
        <w:spacing w:after="110" w:before="220"/>
      </w:pPr>
      <w:r>
        <w:rPr>
          <w:b/>
          <w:bCs/>
          <w:color w:val="1A2B4C"/>
          <w:sz w:val="26"/>
          <w:szCs w:val="26"/>
        </w:rPr>
        <w:t xml:space="preserve">3. Visualizaciones</w:t>
      </w:r>
    </w:p>
    <w:p>
      <w:pPr>
        <w:spacing w:after="60" w:before="80"/>
        <w:jc w:val="center"/>
      </w:pPr>
      <w:r>
        <w:drawing>
          <wp:inline distT="0" distB="0" distL="0" distR="0">
            <wp:extent cx="40957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A6B85"/>
          <w:sz w:val="15"/>
          <w:szCs w:val="15"/>
        </w:rPr>
        <w:t xml:space="preserve">Figura 1. Top 5 categorías por ingreso.</w:t>
      </w:r>
    </w:p>
    <w:p>
      <w:pPr>
        <w:spacing w:after="60" w:before="80"/>
        <w:jc w:val="center"/>
      </w:pPr>
      <w:r>
        <w:drawing>
          <wp:inline distT="0" distB="0" distL="0" distR="0">
            <wp:extent cx="4381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A6B85"/>
          <w:sz w:val="15"/>
          <w:szCs w:val="15"/>
        </w:rPr>
        <w:t xml:space="preserve">Figura 2. Evolución de ingreso mensual, ene-2017 a ago-2018.</w:t>
      </w:r>
    </w:p>
    <w:p>
      <w:pPr>
        <w:pStyle w:val="Heading1"/>
        <w:spacing w:after="110" w:before="220"/>
      </w:pPr>
      <w:r>
        <w:rPr>
          <w:b/>
          <w:bCs/>
          <w:color w:val="1A2B4C"/>
          <w:sz w:val="26"/>
          <w:szCs w:val="26"/>
        </w:rPr>
        <w:t xml:space="preserve">4. Interpretación</w:t>
      </w:r>
    </w:p>
    <w:p>
      <w:pPr>
        <w:spacing w:after="110" w:line="268"/>
      </w:pPr>
      <w:r>
        <w:rPr>
          <w:sz w:val="20"/>
          <w:szCs w:val="20"/>
        </w:rPr>
        <w:t xml:space="preserve">El ranking actual es estático — no aísla qué categoría está cayendo en el tiempo (Problema 1); se requiere repetir el análisis mensual por categoría. El contraste volumen/margen entre cama_mesa_banho y relogios_presentes sí es accionable para estrategias de precio y cross-selling (Problema 4). El riesgo principal es leer artefactos de recolección (2016 piloto, corte de sept-2018) como si fueran comportamiento real del negocio.</w:t>
      </w:r>
    </w:p>
    <w:p>
      <w:pPr>
        <w:pStyle w:val="Heading1"/>
        <w:spacing w:after="110" w:before="220"/>
      </w:pPr>
      <w:r>
        <w:rPr>
          <w:b/>
          <w:bCs/>
          <w:color w:val="1A2B4C"/>
          <w:sz w:val="26"/>
          <w:szCs w:val="26"/>
        </w:rPr>
        <w:t xml:space="preserve">5. Conclusiones Iniciales</w:t>
      </w:r>
    </w:p>
    <w:p>
      <w:pPr>
        <w:spacing w:after="70" w:line="260"/>
      </w:pPr>
      <w:r>
        <w:rPr>
          <w:sz w:val="20"/>
          <w:szCs w:val="20"/>
        </w:rPr>
        <w:t xml:space="preserve">1. El negocio crece de forma saludable de 2016 a 2018, sin evidencia (a este nivel) de la caída generalizada descrita en el caso.</w:t>
      </w:r>
    </w:p>
    <w:p>
      <w:pPr>
        <w:spacing w:after="70" w:line="260"/>
      </w:pPr>
      <w:r>
        <w:rPr>
          <w:sz w:val="20"/>
          <w:szCs w:val="20"/>
        </w:rPr>
        <w:t xml:space="preserve">2. Conviene diferenciar estrategia por categoría: volumen (cama_mesa_banho) vs. margen (relogios_presentes).</w:t>
      </w:r>
    </w:p>
    <w:p>
      <w:pPr>
        <w:spacing w:after="70" w:line="260"/>
      </w:pPr>
      <w:r>
        <w:rPr>
          <w:sz w:val="20"/>
          <w:szCs w:val="20"/>
        </w:rPr>
        <w:t xml:space="preserve">3. Profundizar el análisis de categorías en el tiempo antes de concluir cuáles están realmente en declive.</w:t>
      </w:r>
    </w:p>
    <w:p>
      <w:pPr>
        <w:spacing w:after="70" w:line="260"/>
      </w:pPr>
      <w:r>
        <w:rPr>
          <w:sz w:val="20"/>
          <w:szCs w:val="20"/>
        </w:rPr>
        <w:t xml:space="preserve">4. Excluir o señalar explícitamente 2016 y sept-2018 en cualquier reporte a gerencia, por ser artefactos de datos.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87a20b25a620443468031b90e558a665a96f23.png"/><Relationship Id="rId8" Type="http://schemas.openxmlformats.org/officeDocument/2006/relationships/image" Target="media/e5fa17ad63d1fb09a731a4cb7dbd96f10e6934e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2026-09-06T04:37:38.916Z</dcterms:created>
  <dcterms:modified xsi:type="dcterms:W3CDTF">2026-09-06T04:37:38.916Z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