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b/>
          <w:bCs/>
          <w:color w:val="1A2B4C"/>
          <w:sz w:val="26"/>
          <w:szCs w:val="26"/>
        </w:rPr>
        <w:t xml:space="preserve">Reporte Técnico — Modelo Analítico Market360</w:t>
      </w:r>
    </w:p>
    <w:p>
      <w:pPr>
        <w:pBdr>
          <w:bottom w:val="single" w:color="E8621A" w:sz="6"/>
        </w:pBdr>
        <w:spacing w:after="25"/>
        <w:jc w:val="center"/>
      </w:pPr>
      <w:r>
        <w:rPr>
          <w:i/>
          <w:iCs/>
          <w:color w:val="5A6B85"/>
          <w:sz w:val="16"/>
          <w:szCs w:val="16"/>
        </w:rPr>
        <w:t xml:space="preserve">Data Insight Consulting · Proyecto Integrador · Semana 2</w:t>
      </w:r>
    </w:p>
    <w:p>
      <w:pPr>
        <w:spacing w:after="100"/>
      </w:pPr>
      <w:r>
        <w:rPr>
          <w:sz w:val="4"/>
          <w:szCs w:val="4"/>
        </w:rPr>
        <w:t xml:space="preserve"> </w:t>
      </w:r>
    </w:p>
    <w:p>
      <w:pPr>
        <w:pStyle w:val="Heading1"/>
        <w:spacing w:after="90" w:before="180"/>
      </w:pPr>
      <w:r>
        <w:rPr>
          <w:b/>
          <w:bCs/>
          <w:color w:val="1A2B4C"/>
          <w:sz w:val="25"/>
          <w:szCs w:val="25"/>
        </w:rPr>
        <w:t xml:space="preserve">1. Introducción</w:t>
      </w:r>
    </w:p>
    <w:p>
      <w:pPr>
        <w:spacing w:after="80" w:line="250"/>
      </w:pPr>
      <w:r>
        <w:rPr>
          <w:sz w:val="18"/>
          <w:szCs w:val="18"/>
        </w:rPr>
        <w:t xml:space="preserve">Este reporte documenta la Semana 2 del proyecto integrador: la transformación del modelo transaccional (OLTP) de Market360 en un modelo dimensional (OLAP) orientado al análisis, las consultas de negocio construidas sobre ese modelo, y los hallazgos obtenidos mediante subconsultas de comparación contra el promedio para los tres ejes de análisis del caso: clientes, productos y categorías.</w:t>
      </w:r>
    </w:p>
    <w:p>
      <w:pPr>
        <w:spacing w:after="80" w:line="250"/>
      </w:pPr>
      <w:r>
        <w:rPr>
          <w:sz w:val="18"/>
          <w:szCs w:val="18"/>
        </w:rPr>
        <w:t xml:space="preserve">La metodología siguió tres pasos: (1) identificar llaves primarias y foráneas del modelo fuente, (2) diseñar un esquema estrella con grano a nivel de ítem de pedido y poblarlo mediante un proceso ETL, y (3) construir consultas analíticas y subconsultas de segmentación sobre el modelo ya poblado.</w:t>
      </w:r>
    </w:p>
    <w:p>
      <w:pPr>
        <w:pStyle w:val="Heading1"/>
        <w:spacing w:after="90" w:before="180"/>
      </w:pPr>
      <w:r>
        <w:rPr>
          <w:b/>
          <w:bCs/>
          <w:color w:val="1A2B4C"/>
          <w:sz w:val="25"/>
          <w:szCs w:val="25"/>
        </w:rPr>
        <w:t xml:space="preserve">2. Modelo Dimensional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800"/>
      </w:tblGrid>
      <w:tr>
        <w:trPr>
          <w:tblHeader/>
        </w:trPr>
        <w:tc>
          <w:tcPr>
            <w:tcW w:type="dxa" w:w="30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30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8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Foreign Key(s)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olist_customers / sellers / products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customer_id / seller_id / product_id</w:t>
            </w:r>
          </w:p>
        </w:tc>
        <w:tc>
          <w:tcPr>
            <w:tcW w:type="dxa" w:w="2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olist_orders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order_id</w:t>
            </w:r>
          </w:p>
        </w:tc>
        <w:tc>
          <w:tcPr>
            <w:tcW w:type="dxa" w:w="2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customer_id → customers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olist_order_items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order_id + order_item_id</w:t>
            </w:r>
          </w:p>
        </w:tc>
        <w:tc>
          <w:tcPr>
            <w:tcW w:type="dxa" w:w="2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order_id, product_id, seller_id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olist_order_payments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order_id + payment_sequential</w:t>
            </w:r>
          </w:p>
        </w:tc>
        <w:tc>
          <w:tcPr>
            <w:tcW w:type="dxa" w:w="2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order_id → orders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olist_order_reviews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review_id</w:t>
            </w:r>
          </w:p>
        </w:tc>
        <w:tc>
          <w:tcPr>
            <w:tcW w:type="dxa" w:w="2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order_id → orders</w:t>
            </w:r>
          </w:p>
        </w:tc>
      </w:tr>
    </w:tbl>
    <w:p>
      <w:pPr>
        <w:spacing w:after="80" w:line="250"/>
      </w:pPr>
      <w:r>
        <w:rPr>
          <w:sz w:val="18"/>
          <w:szCs w:val="18"/>
        </w:rPr>
        <w:t xml:space="preserve"/>
      </w:r>
    </w:p>
    <w:p>
      <w:pPr>
        <w:spacing w:after="80" w:line="250"/>
      </w:pPr>
      <w:r>
        <w:rPr>
          <w:sz w:val="18"/>
          <w:szCs w:val="18"/>
        </w:rPr>
        <w:t xml:space="preserve">Se diseñó un esquema estrella (Fact_Ventas + 5 dimensiones) con grano a nivel de ítem de pedido, usando llaves sustitutas (surrogate keys) para JOINs más eficientes: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rPr>
          <w:tblHeader/>
        </w:trPr>
        <w:tc>
          <w:tcPr>
            <w:tcW w:type="dxa" w:w="30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58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Atributos / medidas principales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Fact_Ventas</w:t>
            </w:r>
          </w:p>
        </w:tc>
        <w:tc>
          <w:tcPr>
            <w:tcW w:type="dxa" w:w="5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 FK + price, freight_value, payment_value, review_score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Dim_Cliente / Producto / Categoria</w:t>
            </w:r>
          </w:p>
        </w:tc>
        <w:tc>
          <w:tcPr>
            <w:tcW w:type="dxa" w:w="5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identificadores + atributos descriptivos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Dim_Fecha</w:t>
            </w:r>
          </w:p>
        </w:tc>
        <w:tc>
          <w:tcPr>
            <w:tcW w:type="dxa" w:w="5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fecha, año, mes, trimestre, día_semana</w:t>
            </w:r>
          </w:p>
        </w:tc>
      </w:tr>
      <w:tr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Dim_Pago</w:t>
            </w:r>
          </w:p>
        </w:tc>
        <w:tc>
          <w:tcPr>
            <w:tcW w:type="dxa" w:w="58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payment_type, payment_installments</w:t>
            </w:r>
          </w:p>
        </w:tc>
      </w:tr>
    </w:tbl>
    <w:p>
      <w:pPr>
        <w:pStyle w:val="Heading1"/>
        <w:spacing w:after="90" w:before="180"/>
      </w:pPr>
      <w:r>
        <w:rPr>
          <w:b/>
          <w:bCs/>
          <w:color w:val="1A2B4C"/>
          <w:sz w:val="25"/>
          <w:szCs w:val="25"/>
        </w:rPr>
        <w:t xml:space="preserve">3. Consultas Analíticas — Resumen</w:t>
      </w:r>
    </w:p>
    <w:p>
      <w:pPr>
        <w:spacing w:after="90" w:line="256"/>
      </w:pPr>
      <w:r>
        <w:rPr>
          <w:b/>
          <w:bCs/>
          <w:sz w:val="17"/>
          <w:szCs w:val="17"/>
        </w:rPr>
        <w:t xml:space="preserve">Ingresos por categoría: </w:t>
      </w:r>
      <w:r>
        <w:rPr>
          <w:sz w:val="17"/>
          <w:szCs w:val="17"/>
        </w:rPr>
        <w:t xml:space="preserve">las 10 categorías principales generan R$ 8,522,193, lideradas por beleza_saude (R$1,263,004) y relogios_presentes (R$1,206,075). </w:t>
      </w:r>
      <w:r>
        <w:rPr>
          <w:b/>
          <w:bCs/>
          <w:sz w:val="17"/>
          <w:szCs w:val="17"/>
        </w:rPr>
        <w:t xml:space="preserve">Devoluciones: </w:t>
      </w:r>
      <w:r>
        <w:rPr>
          <w:sz w:val="17"/>
          <w:szCs w:val="17"/>
        </w:rPr>
        <w:t xml:space="preserve">cama_mesa_banho lidera (2,112). Hallazgo clave: telefonia aparece en el top 10 de devoluciones (761) sin estar en el top 10 de ingresos — alto riesgo relativo (Problema 2). </w:t>
      </w:r>
      <w:r>
        <w:rPr>
          <w:b/>
          <w:bCs/>
          <w:sz w:val="17"/>
          <w:szCs w:val="17"/>
        </w:rPr>
        <w:t xml:space="preserve">Cliente y abandono: </w:t>
      </w:r>
      <w:r>
        <w:rPr>
          <w:sz w:val="17"/>
          <w:szCs w:val="17"/>
        </w:rPr>
        <w:t xml:space="preserve">valor promedio de compra R$143.15 por cliente; 84,642 clientes sin compra hace más de 90 días, evidencia directa del Problema 3.</w:t>
      </w:r>
    </w:p>
    <w:p>
      <w:pPr>
        <w:pStyle w:val="Heading1"/>
        <w:spacing w:after="90" w:before="180"/>
      </w:pPr>
      <w:r>
        <w:rPr>
          <w:b/>
          <w:bCs/>
          <w:color w:val="1A2B4C"/>
          <w:sz w:val="25"/>
          <w:szCs w:val="25"/>
        </w:rPr>
        <w:t xml:space="preserve">4. Subconsultas — Resultados y Hallazgos</w:t>
      </w:r>
    </w:p>
    <w:p>
      <w:pPr>
        <w:spacing w:after="80" w:line="250"/>
      </w:pPr>
      <w:r>
        <w:rPr>
          <w:sz w:val="18"/>
          <w:szCs w:val="18"/>
        </w:rPr>
        <w:t xml:space="preserve">Las tres subconsultas comparan cada entidad (cliente, producto, categoría) contra el promedio de su propio grupo, usando el patrón CTE + subconsulta escalar (AVG). Los resultados revelan una fuerte concentración en los tres niveles de análisis.</w:t>
      </w:r>
    </w:p>
    <w:p>
      <w:pPr>
        <w:pStyle w:val="Heading2"/>
        <w:spacing w:after="70" w:before="120"/>
      </w:pPr>
      <w:r>
        <w:rPr>
          <w:b/>
          <w:bCs/>
          <w:color w:val="E8621A"/>
          <w:sz w:val="20"/>
          <w:szCs w:val="20"/>
        </w:rPr>
        <w:t xml:space="preserve">4.1 Clientes por encima del promedio de compra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44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Promedio de gasto por cliente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R$ 143.15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Total de clientes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94,107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Clientes sobre el promedio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26,987 (28.7%)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Ticket promedio del grupo alto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R$ 333 (2.3x el promedio general)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Mediana / máximo del grupo alto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R$ 224 / R$ 13,440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i/>
                <w:iCs/>
                <w:color w:val="5A6B85"/>
                <w:sz w:val="12"/>
                <w:szCs w:val="12"/>
              </w:rPr>
              <w:t xml:space="preserve">Figura 3. Distribución de clientes sobre el promedio por rango de gasto.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i/>
                <w:iCs/>
                <w:color w:val="5A6B85"/>
                <w:sz w:val="12"/>
                <w:szCs w:val="12"/>
              </w:rPr>
              <w:t xml:space="preserve">Figura 4. 28.7% de los clientes concentra 66.6% del gasto.</w:t>
            </w:r>
          </w:p>
        </w:tc>
      </w:tr>
    </w:tbl>
    <w:p>
      <w:pPr>
        <w:spacing w:after="90" w:line="256"/>
      </w:pPr>
      <w:r>
        <w:rPr>
          <w:b/>
          <w:bCs/>
          <w:sz w:val="17"/>
          <w:szCs w:val="17"/>
        </w:rPr>
        <w:t xml:space="preserve">Hallazgo: </w:t>
      </w:r>
      <w:r>
        <w:rPr>
          <w:sz w:val="17"/>
          <w:szCs w:val="17"/>
        </w:rPr>
        <w:t xml:space="preserve">solo 28.7% de los clientes supera el promedio, pero concentra 66.6% del ingreso total. Incluso dentro de este grupo el valor se concentra en pocos casos extremos: la mediana (R$224) está muy por debajo de la media (R$333), y el máximo llega a R$13,440 — el promedio del grupo alto está inflado por unos pocos clientes de compra muy grande.</w:t>
      </w:r>
    </w:p>
    <w:p>
      <w:pPr>
        <w:pStyle w:val="Heading2"/>
        <w:spacing w:after="70" w:before="120"/>
      </w:pPr>
      <w:r>
        <w:rPr>
          <w:b/>
          <w:bCs/>
          <w:color w:val="E8621A"/>
          <w:sz w:val="20"/>
          <w:szCs w:val="20"/>
        </w:rPr>
        <w:t xml:space="preserve">4.2 Productos por debajo del promedio de ventas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44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Promedio de unidades vendidas por SKU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3.0 unidades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Productos bajo el promedio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23,371 SKU (72.3%)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% de unidades vendidas que representan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30.0%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Rotación (bajo promedio vs. resto)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1.25 vs. 7.57 unidades/SKU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SKU con 1 sola unidad vendida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17,638 (75.5% del grupo rezagado)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i/>
                <w:iCs/>
                <w:color w:val="5A6B85"/>
                <w:sz w:val="12"/>
                <w:szCs w:val="12"/>
              </w:rPr>
              <w:t xml:space="preserve">Figura 5. Rotación del catálogo: % de SKU vs. % de unidades vendidas.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i/>
                <w:iCs/>
                <w:color w:val="5A6B85"/>
                <w:sz w:val="12"/>
                <w:szCs w:val="12"/>
              </w:rPr>
              <w:t xml:space="preserve">Figura 6. Las 20 categorías sobre la media aportan 85.1% del ingreso.</w:t>
            </w:r>
          </w:p>
        </w:tc>
      </w:tr>
    </w:tbl>
    <w:p>
      <w:pPr>
        <w:spacing w:after="90" w:line="256"/>
      </w:pPr>
      <w:r>
        <w:rPr>
          <w:b/>
          <w:bCs/>
          <w:sz w:val="17"/>
          <w:szCs w:val="17"/>
        </w:rPr>
        <w:t xml:space="preserve">Hallazgo: </w:t>
      </w:r>
      <w:r>
        <w:rPr>
          <w:sz w:val="17"/>
          <w:szCs w:val="17"/>
        </w:rPr>
        <w:t xml:space="preserve">catálogo de "cola larga" — 72.3% de los productos vende por debajo del promedio y solo genera 30% de las unidades. Dentro de ese grupo, 75.5% vendió una sola unidad en todo el periodo: son candidatos directos a descontinuación, liquidación o revisión de precio y visibilidad.</w:t>
      </w:r>
    </w:p>
    <w:p>
      <w:pPr>
        <w:pStyle w:val="Heading2"/>
        <w:spacing w:after="70" w:before="120"/>
      </w:pPr>
      <w:r>
        <w:rPr>
          <w:b/>
          <w:bCs/>
          <w:color w:val="E8621A"/>
          <w:sz w:val="20"/>
          <w:szCs w:val="20"/>
        </w:rPr>
        <w:t xml:space="preserve">4.3 Categorías con desempeño inferior a la media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4400"/>
            <w:shd w:fill="1A2B4C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Ingreso promedio por categoría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R$ 184,541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Mediana de ingreso por categoría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R$ 46,457 (4.0x menor que la media)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Categorías bajo la media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53 de 73 (72.6%) → aportan solo 14.9% del ingreso</w:t>
            </w:r>
          </w:p>
        </w:tc>
      </w:tr>
      <w:tr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Categorías sobre la media</w:t>
            </w:r>
          </w:p>
        </w:tc>
        <w:tc>
          <w:tcPr>
            <w:tcW w:type="dxa" w:w="4400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 (27.4%) → aportan 85.1% del ingreso</w:t>
            </w:r>
          </w:p>
        </w:tc>
      </w:tr>
    </w:tbl>
    <w:p>
      <w:pPr>
        <w:spacing w:after="90" w:line="256"/>
      </w:pPr>
      <w:r>
        <w:rPr>
          <w:b/>
          <w:bCs/>
          <w:sz w:val="17"/>
          <w:szCs w:val="17"/>
        </w:rPr>
        <w:t xml:space="preserve">Hallazgo: </w:t>
      </w:r>
      <w:r>
        <w:rPr>
          <w:sz w:val="17"/>
          <w:szCs w:val="17"/>
        </w:rPr>
        <w:t xml:space="preserve">la media no es un buen umbral por sí sola — es 4 veces la mediana, señal de distribución fuertemente sesgada por las categorías líderes. "Estar bajo la media" no implica necesariamente bajo desempeño; conviene complementar con mediana o cuartiles. </w:t>
      </w:r>
      <w:r>
        <w:rPr>
          <w:b/>
          <w:bCs/>
          <w:sz w:val="17"/>
          <w:szCs w:val="17"/>
        </w:rPr>
        <w:t xml:space="preserve">Oportunidad de corto plazo: </w:t>
      </w:r>
      <w:r>
        <w:rPr>
          <w:sz w:val="17"/>
          <w:szCs w:val="17"/>
        </w:rPr>
        <w:t xml:space="preserve">eletronicos (87%), consoles_games (86%) y fashion_bolsas_e_acessorios (83%) están cerca del umbral y podrían cruzarlo con impulso comercial moderado. En el extremo opuesto, seguros_e_servicos y fashion_roupa_infanto_juvenil están por debajo del 0.3% de la media y su viabilidad debe evaluarse.</w:t>
      </w:r>
    </w:p>
    <w:p>
      <w:pPr>
        <w:pStyle w:val="Heading1"/>
        <w:spacing w:after="90" w:before="180"/>
      </w:pPr>
      <w:r>
        <w:rPr>
          <w:b/>
          <w:bCs/>
          <w:color w:val="1A2B4C"/>
          <w:sz w:val="25"/>
          <w:szCs w:val="25"/>
        </w:rPr>
        <w:t xml:space="preserve">5. Conclusiones</w:t>
      </w:r>
    </w:p>
    <w:p>
      <w:pPr>
        <w:spacing w:after="55" w:line="240"/>
      </w:pPr>
      <w:r>
        <w:rPr>
          <w:sz w:val="17"/>
          <w:szCs w:val="17"/>
        </w:rPr>
        <w:t xml:space="preserve">1. El negocio muestra un patrón de concentración consistente en sus tres dimensiones de análisis: ~29% de los clientes genera ~67% del ingreso, ~28% de los productos genera ~70% de las unidades vendidas, y ~27% de las categorías genera ~85% del ingreso — la regla 80/20 se cumple con fuerza en Market360.</w:t>
      </w:r>
    </w:p>
    <w:p>
      <w:pPr>
        <w:spacing w:after="55" w:line="240"/>
      </w:pPr>
      <w:r>
        <w:rPr>
          <w:sz w:val="17"/>
          <w:szCs w:val="17"/>
        </w:rPr>
        <w:t xml:space="preserve">2. telefonia (alto en devoluciones, bajo en ingreso) y los 17,638 SKU de una sola unidad vendida son las dos oportunidades de limpieza/mejora más claras y de menor esfuerzo para atacar los Problemas 2 y 4.</w:t>
      </w:r>
    </w:p>
    <w:p>
      <w:pPr>
        <w:spacing w:after="55" w:line="240"/>
      </w:pPr>
      <w:r>
        <w:rPr>
          <w:sz w:val="17"/>
          <w:szCs w:val="17"/>
        </w:rPr>
        <w:t xml:space="preserve">3. 84,642 clientes inactivos y la fuerte dependencia de un grupo pequeño de clientes de alto valor confirman, con evidencia, la señal de abandono reportada por la gerencia (Problema 3) — retener al 28.7% de clientes top debe ser prioridad sobre adquirir clientes nuevos.</w:t>
      </w:r>
    </w:p>
    <w:p>
      <w:pPr>
        <w:spacing w:after="55" w:line="240"/>
      </w:pPr>
      <w:r>
        <w:rPr>
          <w:sz w:val="17"/>
          <w:szCs w:val="17"/>
        </w:rPr>
        <w:t xml:space="preserve">4. Para el Problema 1, el umbral de "media" debe usarse con cautela dado el sesgo de la distribución; se recomienda evaluar las categorías cercanas al umbral (eletronicos, consoles_games, fashion_bolsas_e_acessorios) como objetivos de impulso comercial de corto plazo.</w:t>
      </w:r>
    </w:p>
    <w:p>
      <w:pPr>
        <w:pStyle w:val="Heading1"/>
        <w:spacing w:after="90" w:before="180"/>
      </w:pPr>
      <w:r>
        <w:rPr>
          <w:b/>
          <w:bCs/>
          <w:color w:val="1A2B4C"/>
          <w:sz w:val="25"/>
          <w:szCs w:val="25"/>
        </w:rPr>
        <w:t xml:space="preserve">Anexo — Scripts SQL clave</w:t>
      </w:r>
    </w:p>
    <w:p>
      <w:pPr>
        <w:pStyle w:val="Heading2"/>
        <w:spacing w:after="70" w:before="120"/>
      </w:pPr>
      <w:r>
        <w:rPr>
          <w:b/>
          <w:bCs/>
          <w:color w:val="E8621A"/>
          <w:sz w:val="20"/>
          <w:szCs w:val="20"/>
        </w:rPr>
        <w:t xml:space="preserve">A.1 Creación de la tabla de hechos</w:t>
      </w:r>
    </w:p>
    <w:p>
      <w:pPr>
        <w:shd w:fill="F2F2F2" w:val="clear"/>
        <w:spacing w:after="90" w:line="230"/>
      </w:pPr>
      <w:r>
        <w:rPr>
          <w:rFonts w:ascii="Consolas" w:cs="Consolas" w:eastAsia="Consolas" w:hAnsi="Consolas"/>
          <w:sz w:val="15"/>
          <w:szCs w:val="15"/>
        </w:rPr>
        <w:t xml:space="preserve">CREATE TABLE Fact_Ventas (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    venta_key INT IDENTITY PRIMARY KEY,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    order_id CHAR(32) NOT NULL, order_item_id SMALLINT NOT NULL,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    cliente_key INT NOT NULL, producto_key INT NOT NULL,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    categoria_key INT NOT NULL, fecha_key INT NOT NULL, pago_key INT NOT NULL,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    price DECIMAL(10,2), freight_value DECIMAL(10,2),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    payment_value DECIMAL(10,2), review_score TINYINT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pStyle w:val="Heading2"/>
        <w:spacing w:after="70" w:before="120"/>
      </w:pPr>
      <w:r>
        <w:rPr>
          <w:b/>
          <w:bCs/>
          <w:color w:val="E8621A"/>
          <w:sz w:val="20"/>
          <w:szCs w:val="20"/>
        </w:rPr>
        <w:t xml:space="preserve">A.2 Patrón de subconsulta (ejemplo: clientes sobre el promedio)</w:t>
      </w:r>
    </w:p>
    <w:p>
      <w:pPr>
        <w:shd w:fill="F2F2F2" w:val="clear"/>
        <w:spacing w:after="90" w:line="230"/>
      </w:pPr>
      <w:r>
        <w:rPr>
          <w:rFonts w:ascii="Consolas" w:cs="Consolas" w:eastAsia="Consolas" w:hAnsi="Consolas"/>
          <w:sz w:val="15"/>
          <w:szCs w:val="15"/>
        </w:rPr>
        <w:t xml:space="preserve">DECLARE @promedio_gasto FLOAT;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SELECT @promedio_gasto = AVG(gasto_total) FROM gasto_por_cliente;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/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SELECT customer_unique_id, gasto_total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FROM gasto_por_cliente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WHERE gasto_total &gt; @promedio_gasto</w:t>
      </w:r>
      <w:r>
        <w:br/>
      </w:r>
      <w:r>
        <w:rPr>
          <w:rFonts w:ascii="Consolas" w:cs="Consolas" w:eastAsia="Consolas" w:hAnsi="Consolas"/>
          <w:sz w:val="15"/>
          <w:szCs w:val="15"/>
        </w:rPr>
        <w:t xml:space="preserve">ORDER BY gasto_total DESC;</w:t>
      </w:r>
    </w:p>
    <w:p>
      <w:pPr>
        <w:spacing w:after="80" w:line="250"/>
      </w:pPr>
      <w:r>
        <w:rPr>
          <w:sz w:val="18"/>
          <w:szCs w:val="18"/>
        </w:rPr>
        <w:t xml:space="preserve">Los scripts completos de creación del modelo, ETL de carga y las cuatro consultas analíticas se entregan como archivos .sql adjuntos a este reporte.</w:t>
      </w:r>
    </w:p>
    <w:sectPr>
      <w:pgSz w:w="12240" w:h="15840" w:orient="portrait"/>
      <w:pgMar w:top="56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f6023591c86acc061e49d3f29e0dc5a2457b7e.png"/><Relationship Id="rId8" Type="http://schemas.openxmlformats.org/officeDocument/2006/relationships/image" Target="media/41bf03507b9a54363958d9c3a9ff5adbb539ce73.png"/><Relationship Id="rId9" Type="http://schemas.openxmlformats.org/officeDocument/2006/relationships/image" Target="media/69b88da4f4f006bc5a2cce1df09e505bffcfb88d.png"/><Relationship Id="rId10" Type="http://schemas.openxmlformats.org/officeDocument/2006/relationships/image" Target="media/f5238af239f81efdb3654e041ef698066f2e181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2026-09-07T01:11:55.533Z</dcterms:created>
  <dcterms:modified xsi:type="dcterms:W3CDTF">2026-09-07T01:11:55.533Z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