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  <Override PartName="/word/media/rId1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Guía de aprendizaje núm. 10 — Formato 18 semanas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Semana 10: Rutas, controladores y formularios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730"/>
            </w:tblGrid>
            <w:tr>
              <w:trPr>
                <w:tblHeader w:val="on"/>
              </w:trPr>
              <w:tc>
                <w:tcPr/>
                <w:p>
                  <w:pPr>
                    <w:pStyle w:val="FirstParagraph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  <w:p>
                  <w:pPr>
                    <w:pStyle w:val="BodyText"/>
                  </w:pPr>
                  <w:r>
                    <w:rPr>
                      <w:b/>
                      <w:bCs/>
                    </w:rPr>
                    <w:t xml:space="preserve">Año Psicopedagógico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Nombre del curso: Introducción al |</w:t>
                  </w:r>
                  <w:r>
                    <w:t xml:space="preserve"> </w:t>
                  </w:r>
                  <w:r>
                    <w:t xml:space="preserve">Desarrollo Web con Java |</w:t>
                  </w:r>
                  <w:r>
                    <w:t xml:space="preserve"> </w:t>
                  </w:r>
                  <w:r>
                    <w:t xml:space="preserve">|</w:t>
                  </w:r>
                  <w:r>
                    <w:t xml:space="preserve"> </w:t>
                  </w:r>
                  <w:r>
                    <w:t xml:space="preserve">Enfoque Pedagógico para Docentes |</w:t>
                  </w:r>
                </w:p>
              </w:tc>
            </w:tr>
          </w:tbl>
          <w:p/>
        </w:tc>
      </w:tr>
    </w:tbl>
    <w:p>
      <w:pPr>
        <w:pStyle w:val="BodyText"/>
      </w:pPr>
      <w:r>
        <w:drawing>
          <wp:inline>
            <wp:extent cx="2956894" cy="1258252"/>
            <wp:effectExtent b="0" l="0" r="0" t="0"/>
            <wp:docPr descr="Transformación Digital – Universidad Rafael Landívar" title="" id="11" name="Picture"/>
            <a:graphic>
              <a:graphicData uri="http://schemas.openxmlformats.org/drawingml/2006/picture">
                <pic:pic>
                  <pic:nvPicPr>
                    <pic:cNvPr descr="media/image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94" cy="125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007573"/>
            <wp:effectExtent b="0" l="0" r="0" t="0"/>
            <wp:docPr descr="gráficos de color degradado" title="" id="14" name="Picture"/>
            <a:graphic>
              <a:graphicData uri="http://schemas.openxmlformats.org/drawingml/2006/picture">
                <pic:pic>
                  <pic:nvPicPr>
                    <pic:cNvPr descr="media/image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edFigure"/>
      </w:pPr>
      <w:r>
        <w:drawing>
          <wp:inline>
            <wp:extent cx="523875" cy="523875"/>
            <wp:effectExtent b="0" l="0" r="0" t="0"/>
            <wp:docPr descr="Libro abierto" title="" id="17" name="Picture"/>
            <a:graphic>
              <a:graphicData uri="http://schemas.openxmlformats.org/drawingml/2006/picture">
                <pic:pic>
                  <pic:nvPicPr>
                    <pic:cNvPr descr="media/image4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Libro abierto</w:t>
      </w:r>
    </w:p>
    <w:p>
      <w:pPr>
        <w:pStyle w:val="BodyText"/>
      </w:pPr>
      <w:r>
        <w:rPr>
          <w:b/>
          <w:bCs/>
        </w:rPr>
        <w:t xml:space="preserve">PARTE INTRODUCTORIA</w:t>
      </w:r>
    </w:p>
    <w:p>
      <w:pPr>
        <w:pStyle w:val="BodyText"/>
      </w:pPr>
      <w:r>
        <w:rPr>
          <w:b/>
          <w:bCs/>
          <w:i/>
          <w:iCs/>
        </w:rPr>
        <w:t xml:space="preserve">“Hasta ahora tu aplicación solo respondía preguntas. Esta semana empieza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 recibir respuestas.”</w:t>
      </w:r>
    </w:p>
    <w:p>
      <w:pPr>
        <w:pStyle w:val="BodyText"/>
      </w:pPr>
      <w:r>
        <w:rPr>
          <w:b/>
          <w:bCs/>
        </w:rPr>
        <w:t xml:space="preserve">Fecha de la sesión:</w:t>
      </w:r>
      <w:r>
        <w:t xml:space="preserve"> </w:t>
      </w:r>
      <w:r>
        <w:t xml:space="preserve">19 de septiembre de 2026 ·</w:t>
      </w:r>
      <w:r>
        <w:t xml:space="preserve"> </w:t>
      </w:r>
      <w:r>
        <w:rPr>
          <w:b/>
          <w:bCs/>
        </w:rPr>
        <w:t xml:space="preserve">Entrega de esta guía:</w:t>
      </w:r>
      <w:r>
        <w:t xml:space="preserve"> </w:t>
      </w:r>
      <w:r>
        <w:t xml:space="preserve">antes de la Sesión 11 (26 de septiembre de 2026) ·</w:t>
      </w:r>
      <w:r>
        <w:t xml:space="preserve"> </w:t>
      </w:r>
      <w:r>
        <w:rPr>
          <w:b/>
          <w:bCs/>
        </w:rPr>
        <w:t xml:space="preserve">Valor:</w:t>
      </w:r>
      <w:r>
        <w:t xml:space="preserve"> </w:t>
      </w:r>
      <w:r>
        <w:t xml:space="preserve">1 punto. Esta</w:t>
      </w:r>
      <w:r>
        <w:t xml:space="preserve"> </w:t>
      </w:r>
      <w:r>
        <w:t xml:space="preserve">semana no tiene Entrega Parcial: los hitos del proyecto son las Semanas 5,</w:t>
      </w:r>
      <w:r>
        <w:t xml:space="preserve"> </w:t>
      </w:r>
      <w:r>
        <w:t xml:space="preserve">9, 14 y 17, y el siguiente es la Entrega Parcial 3, en la Semana 14.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</w:tblPr>
      <w:tblGrid>
        <w:gridCol w:w="3740"/>
        <w:gridCol w:w="406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 esperados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 que evidencian 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Implementa rutas GET y POST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en Spring Boot.</w:t>
            </w:r>
          </w:p>
        </w:tc>
        <w:tc>
          <w:tcPr>
            <w:vMerge w:val="restart"/>
          </w:tcPr>
          <w:p>
            <w:pPr>
              <w:pStyle w:val="BodyText"/>
            </w:pPr>
            <w:r>
              <w:rPr>
                <w:i/>
                <w:iCs/>
              </w:rPr>
              <w:t xml:space="preserve">Módulo de registro funcionando: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un formulario que guarda y una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lista que muestra lo guardado.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PDF de la plantilla de la Guía 10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(</w:t>
            </w:r>
            <w:r>
              <w:rPr>
                <w:rStyle w:val="VerbatimChar"/>
                <w:i/>
                <w:iCs/>
              </w:rPr>
              <w:t xml:space="preserve">proyecto.html</w:t>
            </w:r>
            <w:r>
              <w:rPr>
                <w:i/>
                <w:iCs/>
              </w:rPr>
              <w:t xml:space="preserve">, sección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“Entregable”</w:t>
            </w:r>
            <w:r>
              <w:rPr>
                <w:i/>
                <w:iCs/>
              </w:rPr>
              <w:t xml:space="preserve">), y el módulo subido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 la rama development de GitHub.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Diseña formularios HTML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integrados con Thymeleaf y los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conecta con controladores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backend.</w:t>
            </w:r>
          </w:p>
        </w:tc>
        <w:tc>
          <w:tcPr>
            <w:gridSpan w:val="1"/>
            <w:vMerge w:val="continue"/>
          </w:tcPr>
          <w:p>
            <w:pPr/>
          </w:p>
        </w:tc>
      </w:tr>
    </w:tbl>
    <w:p>
      <w:pPr>
        <w:pStyle w:val="BodyText"/>
      </w:pPr>
      <w:r>
        <w:rPr>
          <w:b/>
          <w:bCs/>
        </w:rPr>
        <w:t xml:space="preserve">Habilidades y destrezas de la semana (guía):</w:t>
      </w:r>
      <w:r>
        <w:t xml:space="preserve"> </w:t>
      </w:r>
      <w:r>
        <w:t xml:space="preserve">Desarrollo de Funcionalidad</w:t>
      </w:r>
      <w:r>
        <w:t xml:space="preserve"> </w:t>
      </w:r>
      <w:r>
        <w:t xml:space="preserve">(construir un módulo de registro completo para la entidad principal del</w:t>
      </w:r>
      <w:r>
        <w:t xml:space="preserve"> </w:t>
      </w:r>
      <w:r>
        <w:t xml:space="preserve">proyecto) y Aplicación Práctica (integrar los conceptos de controladores,</w:t>
      </w:r>
      <w:r>
        <w:t xml:space="preserve"> </w:t>
      </w:r>
      <w:r>
        <w:t xml:space="preserve">formularios y binding de datos en una funcionalidad real).</w:t>
      </w:r>
    </w:p>
    <w:p>
      <w:pPr>
        <w:pStyle w:val="BodyText"/>
      </w:pPr>
      <w:r>
        <w:rPr>
          <w:b/>
          <w:bCs/>
        </w:rPr>
        <w:t xml:space="preserve">Valores y actitudes:</w:t>
      </w:r>
      <w:r>
        <w:t xml:space="preserve"> </w:t>
      </w:r>
      <w:r>
        <w:t xml:space="preserve">Responsabilidad de Desarrollo (comprometerse con la</w:t>
      </w:r>
      <w:r>
        <w:t xml:space="preserve"> </w:t>
      </w:r>
      <w:r>
        <w:t xml:space="preserve">implementación de módulos funcionales que aporten valor real a la estructura</w:t>
      </w:r>
      <w:r>
        <w:t xml:space="preserve"> </w:t>
      </w:r>
      <w:r>
        <w:t xml:space="preserve">del proyecto) y Disciplina en la Implementación (asegurar la integridad de</w:t>
      </w:r>
      <w:r>
        <w:t xml:space="preserve"> </w:t>
      </w:r>
      <w:r>
        <w:t xml:space="preserve">los datos durante el proceso de registro de entidades en el sistema).</w:t>
      </w:r>
    </w:p>
    <w:p>
      <w:pPr>
        <w:pStyle w:val="BodyText"/>
      </w:pPr>
      <w:r>
        <w:rPr>
          <w:b/>
          <w:bCs/>
        </w:rPr>
        <w:t xml:space="preserve">Alcance de esta guía:</w:t>
      </w:r>
      <w:r>
        <w:t xml:space="preserve"> </w:t>
      </w:r>
      <w:r>
        <w:t xml:space="preserve">el módulo guarda los registros</w:t>
      </w:r>
      <w:r>
        <w:t xml:space="preserve"> </w:t>
      </w:r>
      <w:r>
        <w:rPr>
          <w:b/>
          <w:bCs/>
        </w:rPr>
        <w:t xml:space="preserve">en memoria</w:t>
      </w:r>
      <w:r>
        <w:t xml:space="preserve">, de</w:t>
      </w:r>
      <w:r>
        <w:t xml:space="preserve"> </w:t>
      </w:r>
      <w:r>
        <w:t xml:space="preserve">modo que se pierden al reiniciar la aplicación. No es un defecto de la</w:t>
      </w:r>
      <w:r>
        <w:t xml:space="preserve"> </w:t>
      </w:r>
      <w:r>
        <w:t xml:space="preserve">entrega: la persistencia en base de datos corresponde a la Semana 12, y la</w:t>
      </w:r>
      <w:r>
        <w:t xml:space="preserve"> </w:t>
      </w:r>
      <w:r>
        <w:t xml:space="preserve">validación de los datos ingresados a la Semana 11.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drawing>
                <wp:inline>
                  <wp:extent cx="447675" cy="447675"/>
                  <wp:effectExtent b="0" l="0" r="0" t="0"/>
                  <wp:docPr descr="Libros" title="" id="20" name="Picture"/>
                  <a:graphic>
                    <a:graphicData uri="http://schemas.openxmlformats.org/drawingml/2006/picture">
                      <pic:pic>
                        <pic:nvPicPr>
                          <pic:cNvPr descr="media/image6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</w:rPr>
              <w:t xml:space="preserve">PRIMERA PARTE: REFUERZO DE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APRENDIZAJES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Propósito de la actividad:</w:t>
            </w:r>
            <w:r>
              <w:t xml:space="preserve"> </w:t>
            </w:r>
            <w:r>
              <w:t xml:space="preserve">Consolidar el circuito completo de un</w:t>
            </w:r>
            <w:r>
              <w:t xml:space="preserve"> </w:t>
            </w:r>
            <w:r>
              <w:t xml:space="preserve">formulario web —mostrar, enviar, recibir, guardar y listar— mediante</w:t>
            </w:r>
            <w:r>
              <w:t xml:space="preserve"> </w:t>
            </w:r>
            <w:r>
              <w:t xml:space="preserve">ejercicios resueltos en la propia computadora, antes de aplicarlo al</w:t>
            </w:r>
            <w:r>
              <w:t xml:space="preserve"> </w:t>
            </w:r>
            <w:r>
              <w:t xml:space="preserve">proyecto real.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Actividades (Instrucciones):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Repaso interactivo:</w:t>
            </w:r>
          </w:p>
          <w:p>
            <w:pPr>
              <w:pStyle w:val="Compact"/>
              <w:numPr>
                <w:ilvl w:val="1"/>
                <w:numId w:val="1002"/>
              </w:numPr>
            </w:pPr>
            <w:r>
              <w:t xml:space="preserve">Estudiar las tres pestañas del cheat sheet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Material_Sesion_Clase_10_HTML_18_semanas/cheatsheet.html</w:t>
            </w:r>
            <w:r>
              <w:t xml:space="preserve">):</w:t>
            </w:r>
            <w:r>
              <w:t xml:space="preserve"> </w:t>
            </w:r>
            <w:r>
              <w:t xml:space="preserve">la sintaxis de la semana, el circuito del formulario en seis</w:t>
            </w:r>
            <w:r>
              <w:t xml:space="preserve"> </w:t>
            </w:r>
            <w:r>
              <w:t xml:space="preserve">pasos y la tabla de errores frecuentes.</w:t>
            </w:r>
          </w:p>
          <w:p>
            <w:pPr>
              <w:pStyle w:val="Compact"/>
              <w:numPr>
                <w:ilvl w:val="1"/>
                <w:numId w:val="1002"/>
              </w:numPr>
            </w:pPr>
            <w:r>
              <w:t xml:space="preserve">Resolver los 8 ejercicios en escalera de</w:t>
            </w:r>
            <w:r>
              <w:t xml:space="preserve"> </w:t>
            </w:r>
            <w:r>
              <w:rPr>
                <w:rStyle w:val="VerbatimChar"/>
              </w:rPr>
              <w:t xml:space="preserve">ejercicios.html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t xml:space="preserve">el proyecto de práctica</w:t>
            </w:r>
            <w:r>
              <w:t xml:space="preserve"> </w:t>
            </w:r>
            <w:r>
              <w:rPr>
                <w:rStyle w:val="VerbatimChar"/>
              </w:rPr>
              <w:t xml:space="preserve">taller-formularios</w:t>
            </w:r>
            <w:r>
              <w:t xml:space="preserve">. Construyen, una</w:t>
            </w:r>
            <w:r>
              <w:t xml:space="preserve"> </w:t>
            </w:r>
            <w:r>
              <w:t xml:space="preserve">pieza a la vez, el mismo módulo que pide la Segunda Parte.</w:t>
            </w:r>
          </w:p>
          <w:p>
            <w:pPr>
              <w:pStyle w:val="Compact"/>
              <w:numPr>
                <w:ilvl w:val="1"/>
                <w:numId w:val="1002"/>
              </w:numPr>
            </w:pPr>
            <w:r>
              <w:t xml:space="preserve">Completar ambas pestañas del challenge si no se terminaron en</w:t>
            </w:r>
            <w:r>
              <w:t xml:space="preserve"> </w:t>
            </w:r>
            <w:r>
              <w:t xml:space="preserve">clase, en especial el simulador de guardar y redirigir.</w:t>
            </w:r>
          </w:p>
          <w:p>
            <w:pPr>
              <w:pStyle w:val="Compact"/>
              <w:numPr>
                <w:ilvl w:val="1"/>
                <w:numId w:val="1002"/>
              </w:numPr>
            </w:pPr>
            <w:r>
              <w:t xml:space="preserve">Repetir el Quiz en modo Final con el botón</w:t>
            </w:r>
            <w:r>
              <w:t xml:space="preserve"> </w:t>
            </w:r>
            <w:r>
              <w:t xml:space="preserve">“🔀 Nuevas</w:t>
            </w:r>
            <w:r>
              <w:t xml:space="preserve"> </w:t>
            </w:r>
            <w:r>
              <w:t xml:space="preserve">preguntas”</w:t>
            </w:r>
            <w:r>
              <w:t xml:space="preserve"> </w:t>
            </w:r>
            <w:r>
              <w:t xml:space="preserve">como autoevaluación de estudio.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Investigación breve: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t xml:space="preserve">Investigar qué otros atributos de Thymeleaf existen además de</w:t>
            </w:r>
            <w:r>
              <w:t xml:space="preserve"> </w:t>
            </w:r>
            <w:r>
              <w:t xml:space="preserve">los vistos (por ejemplo</w:t>
            </w:r>
            <w:r>
              <w:t xml:space="preserve"> </w:t>
            </w:r>
            <w:r>
              <w:rPr>
                <w:rStyle w:val="VerbatimChar"/>
              </w:rPr>
              <w:t xml:space="preserve">th:value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th:selected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th:classappend</w:t>
            </w:r>
            <w:r>
              <w:t xml:space="preserve">) y para qué sirven.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t xml:space="preserve">Investigar por qué el método POST no muestra los datos en la</w:t>
            </w:r>
            <w:r>
              <w:t xml:space="preserve"> </w:t>
            </w:r>
            <w:r>
              <w:t xml:space="preserve">barra de direcciones y en qué se diferencia de GET para el</w:t>
            </w:r>
            <w:r>
              <w:t xml:space="preserve"> </w:t>
            </w:r>
            <w:r>
              <w:t xml:space="preserve">envío de información sensible.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Recursos: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Material HTML de la Semana 10 (hub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de la carpeta</w:t>
            </w:r>
            <w:r>
              <w:t xml:space="preserve"> </w:t>
            </w:r>
            <w:r>
              <w:rPr>
                <w:rStyle w:val="VerbatimChar"/>
              </w:rPr>
              <w:t xml:space="preserve">Material_Sesion_Clase_10_HTML_18_semanas/</w:t>
            </w:r>
            <w:r>
              <w:t xml:space="preserve">), incluido el</w:t>
            </w:r>
            <w:r>
              <w:t xml:space="preserve"> </w:t>
            </w:r>
            <w:r>
              <w:rPr>
                <w:b/>
                <w:bCs/>
              </w:rPr>
              <w:t xml:space="preserve">Kit de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archivos completos</w:t>
            </w:r>
            <w:r>
              <w:t xml:space="preserve"> </w:t>
            </w:r>
            <w:r>
              <w:t xml:space="preserve">con los nueve archivos del módulo, cada uno</w:t>
            </w:r>
            <w:r>
              <w:t xml:space="preserve"> </w:t>
            </w:r>
            <w:r>
              <w:t xml:space="preserve">con su ruta, su línea</w:t>
            </w:r>
            <w:r>
              <w:t xml:space="preserve"> </w:t>
            </w:r>
            <w:r>
              <w:rPr>
                <w:rStyle w:val="VerbatimChar"/>
              </w:rPr>
              <w:t xml:space="preserve">package</w:t>
            </w:r>
            <w:r>
              <w:t xml:space="preserve"> </w:t>
            </w:r>
            <w:r>
              <w:t xml:space="preserve">y todos sus</w:t>
            </w:r>
            <w:r>
              <w:t xml:space="preserve"> </w:t>
            </w:r>
            <w:r>
              <w:rPr>
                <w:rStyle w:val="VerbatimChar"/>
              </w:rPr>
              <w:t xml:space="preserve">import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Documentación oficial de Thymeleaf</w:t>
            </w:r>
            <w:r>
              <w:t xml:space="preserve"> </w:t>
            </w:r>
            <w:r>
              <w:t xml:space="preserve">(</w:t>
            </w:r>
            <w:hyperlink r:id="rId22">
              <w:r>
                <w:rPr>
                  <w:rStyle w:val="Hyperlink"/>
                </w:rPr>
                <w:t xml:space="preserve">https://www.thymeleaf.org/documentation.html</w:t>
              </w:r>
            </w:hyperlink>
            <w:r>
              <w:t xml:space="preserve">).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Evaluación (Formativa):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Capacidad para explicar por qué un formulario puede guardar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registros en blanco sin mostrar ningún mensaje de error, y por qué el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método que guarda debe terminar en una redirección y no devolviendo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la plantilla de la lista.</w:t>
            </w:r>
          </w:p>
        </w:tc>
      </w:tr>
      <w:tr>
        <w:tc>
          <w:tcPr/>
          <w:p>
            <w:pPr>
              <w:pStyle w:val="CaptionedFigure"/>
            </w:pPr>
            <w:r>
              <w:drawing>
                <wp:inline>
                  <wp:extent cx="533400" cy="533400"/>
                  <wp:effectExtent b="0" l="0" r="0" t="0"/>
                  <wp:docPr descr="Piezas de rompecabezas" title="" id="24" name="Picture"/>
                  <a:graphic>
                    <a:graphicData uri="http://schemas.openxmlformats.org/drawingml/2006/picture">
                      <pic:pic>
                        <pic:nvPicPr>
                          <pic:cNvPr descr="media/image8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</w:pPr>
            <w:r>
              <w:t xml:space="preserve">Piezas de</w:t>
            </w:r>
            <w:r>
              <w:t xml:space="preserve"> </w:t>
            </w:r>
            <w:r>
              <w:t xml:space="preserve">rompecabezas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SEGUNDA PARTE: CONSTRUCCIÓN DEL PROYECTO</w:t>
      </w:r>
    </w:p>
    <w:p>
      <w:pPr>
        <w:pStyle w:val="BodyText"/>
      </w:pPr>
      <w:r>
        <w:rPr>
          <w:b/>
          <w:bCs/>
        </w:rPr>
        <w:t xml:space="preserve">Propósito de la actividad:</w:t>
      </w:r>
      <w:r>
        <w:t xml:space="preserve"> </w:t>
      </w:r>
      <w:r>
        <w:t xml:space="preserve">Construir el</w:t>
      </w:r>
      <w:r>
        <w:t xml:space="preserve"> </w:t>
      </w:r>
      <w:r>
        <w:rPr>
          <w:b/>
          <w:bCs/>
        </w:rPr>
        <w:t xml:space="preserve">módulo de registro de la</w:t>
      </w:r>
      <w:r>
        <w:rPr>
          <w:b/>
          <w:bCs/>
        </w:rPr>
        <w:t xml:space="preserve"> </w:t>
      </w:r>
      <w:r>
        <w:rPr>
          <w:b/>
          <w:bCs/>
        </w:rPr>
        <w:t xml:space="preserve">entidad principal</w:t>
      </w:r>
      <w:r>
        <w:t xml:space="preserve"> </w:t>
      </w:r>
      <w:r>
        <w:t xml:space="preserve">del proyecto real del estudiante (guardería, casa hogar,</w:t>
      </w:r>
      <w:r>
        <w:t xml:space="preserve"> </w:t>
      </w:r>
      <w:r>
        <w:t xml:space="preserve">dispensario u otra entidad sin fines de lucro): un formulario que capture los</w:t>
      </w:r>
      <w:r>
        <w:t xml:space="preserve"> </w:t>
      </w:r>
      <w:r>
        <w:t xml:space="preserve">datos, los guarde y los muestre en una lista.</w:t>
      </w:r>
    </w:p>
    <w:p>
      <w:pPr>
        <w:pStyle w:val="BodyText"/>
      </w:pPr>
      <w:r>
        <w:rPr>
          <w:b/>
          <w:bCs/>
        </w:rPr>
        <w:t xml:space="preserve">Actividades (Instrucciones):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Preparación:</w:t>
      </w:r>
    </w:p>
    <w:p>
      <w:pPr>
        <w:pStyle w:val="Compact"/>
        <w:numPr>
          <w:ilvl w:val="1"/>
          <w:numId w:val="1006"/>
        </w:numPr>
      </w:pPr>
      <w:r>
        <w:t xml:space="preserve">Tener el proyecto de la Semana 9 corriendo en local, con sus</w:t>
      </w:r>
      <w:r>
        <w:t xml:space="preserve"> </w:t>
      </w:r>
      <w:r>
        <w:t xml:space="preserve">paquetes</w:t>
      </w:r>
      <w:r>
        <w:t xml:space="preserve"> </w:t>
      </w:r>
      <w:r>
        <w:rPr>
          <w:rStyle w:val="VerbatimChar"/>
        </w:rPr>
        <w:t xml:space="preserve">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Definir cuál es la</w:t>
      </w:r>
      <w:r>
        <w:t xml:space="preserve"> </w:t>
      </w:r>
      <w:r>
        <w:rPr>
          <w:b/>
          <w:bCs/>
        </w:rPr>
        <w:t xml:space="preserve">entidad principal</w:t>
      </w:r>
      <w:r>
        <w:t xml:space="preserve"> </w:t>
      </w:r>
      <w:r>
        <w:t xml:space="preserve">del proyecto y con qué</w:t>
      </w:r>
      <w:r>
        <w:t xml:space="preserve"> </w:t>
      </w:r>
      <w:r>
        <w:t xml:space="preserve">tres o cuatro campos se va a registrar (por ejemplo</w:t>
      </w:r>
      <w:r>
        <w:t xml:space="preserve"> </w:t>
      </w:r>
      <w:r>
        <w:rPr>
          <w:rStyle w:val="VerbatimChar"/>
        </w:rPr>
        <w:t xml:space="preserve">Nino</w:t>
      </w:r>
      <w:r>
        <w:t xml:space="preserve"> </w:t>
      </w:r>
      <w:r>
        <w:t xml:space="preserve">con</w:t>
      </w:r>
      <w:r>
        <w:t xml:space="preserve"> </w:t>
      </w:r>
      <w:r>
        <w:t xml:space="preserve">nombre, edad y encargado;</w:t>
      </w:r>
      <w:r>
        <w:t xml:space="preserve"> </w:t>
      </w:r>
      <w:r>
        <w:rPr>
          <w:rStyle w:val="VerbatimChar"/>
        </w:rPr>
        <w:t xml:space="preserve">Paciente</w:t>
      </w:r>
      <w:r>
        <w:t xml:space="preserve"> </w:t>
      </w:r>
      <w:r>
        <w:t xml:space="preserve">con nombre, edad y motivo de</w:t>
      </w:r>
      <w:r>
        <w:t xml:space="preserve"> </w:t>
      </w:r>
      <w:r>
        <w:t xml:space="preserve">consulta). La tabla de sugerencias está en el Paso 0 de</w:t>
      </w:r>
      <w:r>
        <w:t xml:space="preserve"> </w:t>
      </w:r>
      <w:r>
        <w:rPr>
          <w:rStyle w:val="VerbatimChar"/>
        </w:rPr>
        <w:t xml:space="preserve">proyecto.html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Seguir la guía de siete pasos incluida al inicio de</w:t>
      </w:r>
      <w:r>
        <w:t xml:space="preserve"> </w:t>
      </w:r>
      <w:r>
        <w:rPr>
          <w:rStyle w:val="VerbatimChar"/>
        </w:rPr>
        <w:t xml:space="preserve">Material_Sesion_Clase_10_HTML_18_semanas/proyecto.html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Práctica de Código — completar la plantilla (sección</w:t>
      </w:r>
      <w:r>
        <w:rPr>
          <w:b/>
          <w:bCs/>
        </w:rPr>
        <w:t xml:space="preserve"> </w:t>
      </w:r>
      <w:r>
        <w:rPr>
          <w:b/>
          <w:bCs/>
        </w:rPr>
        <w:t xml:space="preserve">“Entregable”</w:t>
      </w:r>
      <w:r>
        <w:rPr>
          <w:b/>
          <w:bCs/>
        </w:rPr>
        <w:t xml:space="preserve"> </w:t>
      </w:r>
      <w:r>
        <w:rPr>
          <w:b/>
          <w:bCs/>
        </w:rPr>
        <w:t xml:space="preserve">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proyecto.html</w:t>
      </w:r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Parte A — Clase de modelo (20%):</w:t>
      </w:r>
      <w:r>
        <w:t xml:space="preserve"> </w:t>
      </w:r>
      <w:r>
        <w:t xml:space="preserve">la clase completa, con su</w:t>
      </w:r>
      <w:r>
        <w:t xml:space="preserve"> </w:t>
      </w:r>
      <w:r>
        <w:rPr>
          <w:rStyle w:val="VerbatimChar"/>
        </w:rPr>
        <w:t xml:space="preserve">package</w:t>
      </w:r>
      <w:r>
        <w:t xml:space="preserve">, sus atributos, el constructor vacío y los getters y</w:t>
      </w:r>
      <w:r>
        <w:t xml:space="preserve"> </w:t>
      </w:r>
      <w:r>
        <w:t xml:space="preserve">setters de todos los campos.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Parte B — Controlador (25%):</w:t>
      </w:r>
      <w:r>
        <w:t xml:space="preserve"> </w:t>
      </w:r>
      <w:r>
        <w:t xml:space="preserve">la clase completa, con sus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y las tres rutas: GET que muestra el formulario, POST que</w:t>
      </w:r>
      <w:r>
        <w:t xml:space="preserve"> </w:t>
      </w:r>
      <w:r>
        <w:t xml:space="preserve">guarda y redirige, y GET que lista.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Parte C — Plantillas (25%):</w:t>
      </w:r>
      <w:r>
        <w:t xml:space="preserve"> </w:t>
      </w:r>
      <w:r>
        <w:t xml:space="preserve">el bloque</w:t>
      </w:r>
      <w:r>
        <w:t xml:space="preserve"> </w:t>
      </w:r>
      <w:r>
        <w:rPr>
          <w:rStyle w:val="VerbatimChar"/>
        </w:rPr>
        <w:t xml:space="preserve">form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th:action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th:object</w:t>
      </w:r>
      <w:r>
        <w:t xml:space="preserve"> </w:t>
      </w:r>
      <w:r>
        <w:t xml:space="preserve">y los</w:t>
      </w:r>
      <w:r>
        <w:t xml:space="preserve"> </w:t>
      </w:r>
      <w:r>
        <w:rPr>
          <w:rStyle w:val="VerbatimChar"/>
        </w:rPr>
        <w:t xml:space="preserve">th:field</w:t>
      </w:r>
      <w:r>
        <w:t xml:space="preserve">, y el bloque con el</w:t>
      </w:r>
      <w:r>
        <w:t xml:space="preserve"> </w:t>
      </w:r>
      <w:r>
        <w:rPr>
          <w:rStyle w:val="VerbatimChar"/>
        </w:rPr>
        <w:t xml:space="preserve">th:each</w:t>
      </w:r>
      <w:r>
        <w:t xml:space="preserve"> </w:t>
      </w:r>
      <w:r>
        <w:t xml:space="preserve">de la</w:t>
      </w:r>
      <w:r>
        <w:t xml:space="preserve"> </w:t>
      </w:r>
      <w:r>
        <w:t xml:space="preserve">lista.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Parte D — Evidencia de funcionamiento (20%):</w:t>
      </w:r>
      <w:r>
        <w:t xml:space="preserve"> </w:t>
      </w:r>
      <w:r>
        <w:t xml:space="preserve">las tres</w:t>
      </w:r>
      <w:r>
        <w:t xml:space="preserve"> </w:t>
      </w:r>
      <w:r>
        <w:t xml:space="preserve">comprobaciones del Paso 6 (el envío redirige a la lista, los</w:t>
      </w:r>
      <w:r>
        <w:t xml:space="preserve"> </w:t>
      </w:r>
      <w:r>
        <w:t xml:space="preserve">registros aparecen completos, y recargar no duplica) más el enlace</w:t>
      </w:r>
      <w:r>
        <w:t xml:space="preserve"> </w:t>
      </w:r>
      <w:r>
        <w:t xml:space="preserve">al repositorio.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Reflexión (Parte E, 10%):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Precisión técnica:</w:t>
      </w:r>
      <w:r>
        <w:t xml:space="preserve"> </w:t>
      </w:r>
      <w:r>
        <w:t xml:space="preserve">qué error costó más resolver y cómo se</w:t>
      </w:r>
      <w:r>
        <w:t xml:space="preserve"> </w:t>
      </w:r>
      <w:r>
        <w:t xml:space="preserve">encontró; o bien, qué se revisaría primero ante un formulario que</w:t>
      </w:r>
      <w:r>
        <w:t xml:space="preserve"> </w:t>
      </w:r>
      <w:r>
        <w:t xml:space="preserve">“no guarda nada”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Orientación a la experiencia de usuario:</w:t>
      </w:r>
      <w:r>
        <w:t xml:space="preserve"> </w:t>
      </w:r>
      <w:r>
        <w:t xml:space="preserve">qué le falta al</w:t>
      </w:r>
      <w:r>
        <w:t xml:space="preserve"> </w:t>
      </w:r>
      <w:r>
        <w:t xml:space="preserve">formulario para que una persona de la institución, que no sabe</w:t>
      </w:r>
      <w:r>
        <w:t xml:space="preserve"> </w:t>
      </w:r>
      <w:r>
        <w:t xml:space="preserve">programar, lo use sin equivocarse.</w:t>
      </w:r>
    </w:p>
    <w:p>
      <w:pPr>
        <w:pStyle w:val="FirstParagraph"/>
      </w:pPr>
      <w:r>
        <w:rPr>
          <w:b/>
          <w:bCs/>
        </w:rPr>
        <w:t xml:space="preserve">Recursos:</w:t>
      </w:r>
      <w:r>
        <w:t xml:space="preserve"> </w:t>
      </w:r>
      <w:r>
        <w:t xml:space="preserve">- Guía paso a paso y plantilla del entregable, en una sola página</w:t>
      </w:r>
      <w:r>
        <w:t xml:space="preserve"> </w:t>
      </w:r>
      <w:r>
        <w:t xml:space="preserve">(</w:t>
      </w:r>
      <w:r>
        <w:rPr>
          <w:rStyle w:val="VerbatimChar"/>
        </w:rPr>
        <w:t xml:space="preserve">proyecto.html</w:t>
      </w:r>
      <w:r>
        <w:t xml:space="preserve">), con exportación a PDF.</w:t>
      </w:r>
      <w:r>
        <w:t xml:space="preserve"> </w:t>
      </w:r>
      <w:r>
        <w:t xml:space="preserve">- Kit de archivos completos (</w:t>
      </w:r>
      <w:r>
        <w:rPr>
          <w:rStyle w:val="VerbatimChar"/>
        </w:rPr>
        <w:t xml:space="preserve">ejercicios.html</w:t>
      </w:r>
      <w:r>
        <w:t xml:space="preserve">, segunda pestaña) para</w:t>
      </w:r>
      <w:r>
        <w:t xml:space="preserve"> </w:t>
      </w:r>
      <w:r>
        <w:t xml:space="preserve">copiar cualquier archivo faltante, cambiando el paquete y la entidad.</w:t>
      </w:r>
      <w:r>
        <w:t xml:space="preserve"> </w:t>
      </w:r>
      <w:r>
        <w:t xml:space="preserve">- Cheat sheet de la semana, en especial la pestaña de errores frecuentes.</w:t>
      </w:r>
    </w:p>
    <w:p>
      <w:pPr>
        <w:pStyle w:val="BodyText"/>
      </w:pPr>
      <w:r>
        <w:rPr>
          <w:b/>
          <w:bCs/>
        </w:rPr>
        <w:t xml:space="preserve">Evaluación (Sumativa — 1 punto):</w:t>
      </w:r>
      <w:r>
        <w:t xml:space="preserve"> </w:t>
      </w:r>
      <w:r>
        <w:rPr>
          <w:i/>
          <w:iCs/>
        </w:rPr>
        <w:t xml:space="preserve">Entrega del PDF de la plantilla completada (</w:t>
      </w:r>
      <w:r>
        <w:rPr>
          <w:rStyle w:val="VerbatimChar"/>
          <w:i/>
          <w:iCs/>
        </w:rPr>
        <w:t xml:space="preserve">Guia10_TuNombre.pdf</w:t>
      </w:r>
      <w:r>
        <w:rPr>
          <w:i/>
          <w:iCs/>
        </w:rPr>
        <w:t xml:space="preserve">), antes de</w:t>
      </w:r>
      <w:r>
        <w:rPr>
          <w:i/>
          <w:iCs/>
        </w:rPr>
        <w:t xml:space="preserve"> </w:t>
      </w:r>
      <w:r>
        <w:rPr>
          <w:i/>
          <w:iCs/>
        </w:rPr>
        <w:t xml:space="preserve">la Sesión 11: Parte A 0.20 · Parte B 0.25 · Parte C 0.25 · Parte D 0.20 ·</w:t>
      </w:r>
      <w:r>
        <w:rPr>
          <w:i/>
          <w:iCs/>
        </w:rPr>
        <w:t xml:space="preserve"> </w:t>
      </w:r>
      <w:r>
        <w:rPr>
          <w:i/>
          <w:iCs/>
        </w:rPr>
        <w:t xml:space="preserve">Parte E 0.10. Se valora que el módulo realmente funcione (que registre y</w:t>
      </w:r>
      <w:r>
        <w:rPr>
          <w:i/>
          <w:iCs/>
        </w:rPr>
        <w:t xml:space="preserve"> </w:t>
      </w:r>
      <w:r>
        <w:rPr>
          <w:i/>
          <w:iCs/>
        </w:rPr>
        <w:t xml:space="preserve">liste, no solo que el código esté escrito), que la entidad y los datos</w:t>
      </w:r>
      <w:r>
        <w:rPr>
          <w:i/>
          <w:iCs/>
        </w:rPr>
        <w:t xml:space="preserve"> </w:t>
      </w:r>
      <w:r>
        <w:rPr>
          <w:i/>
          <w:iCs/>
        </w:rPr>
        <w:t xml:space="preserve">correspondan a la institución real del estudiante, y la honestidad de la</w:t>
      </w:r>
      <w:r>
        <w:rPr>
          <w:i/>
          <w:iCs/>
        </w:rPr>
        <w:t xml:space="preserve"> </w:t>
      </w:r>
      <w:r>
        <w:rPr>
          <w:i/>
          <w:iCs/>
        </w:rPr>
        <w:t xml:space="preserve">reflexión. Entrega tardía: −25% por día.</w:t>
      </w:r>
    </w:p>
    <w:p>
      <w:pPr>
        <w:pStyle w:val="BodyText"/>
      </w:pPr>
      <w:r>
        <w:rPr>
          <w:b/>
          <w:bCs/>
        </w:rPr>
        <w:t xml:space="preserve">Al terminar:</w:t>
      </w:r>
      <w:r>
        <w:t xml:space="preserve"> </w:t>
      </w:r>
      <w:r>
        <w:t xml:space="preserve">responde la</w:t>
      </w:r>
      <w:r>
        <w:t xml:space="preserve"> </w:t>
      </w:r>
      <w:r>
        <w:rPr>
          <w:b/>
          <w:bCs/>
        </w:rPr>
        <w:t xml:space="preserve">evaluación anónima de la sesión</w:t>
      </w:r>
      <w:r>
        <w:t xml:space="preserve"> </w:t>
      </w:r>
      <w:r>
        <w:t xml:space="preserve">(formulario</w:t>
      </w:r>
      <w:r>
        <w:t xml:space="preserve"> </w:t>
      </w:r>
      <w:r>
        <w:t xml:space="preserve">de evaluación docente, sugerencias y quejas). Es 100% anónima y ayuda a</w:t>
      </w:r>
      <w:r>
        <w:t xml:space="preserve"> </w:t>
      </w:r>
      <w:r>
        <w:t xml:space="preserve">mejorar el curso semana a semana.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hyperlink" Id="rId22" Target="https://www.thymeleaf.org/documentation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www.thymeleaf.org/documentation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2026-09-19T14:29:37Z</dcterms:created>
  <dcterms:modified xsi:type="dcterms:W3CDTF">2026-09-19T14:29:37Z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