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Resultado de la regresión sobre variables estatales</w:t>
      </w:r>
    </w:p>
    <w:p>
      <w:pPr>
        <w:pStyle w:val="Heading1"/>
      </w:pPr>
      <w:r>
        <w:t>Tabla de resultados de la regresión</w:t>
      </w:r>
    </w:p>
    <w:p>
      <w:pPr>
        <w:pStyle w:val="ListBullet"/>
      </w:pPr>
      <w:r>
        <w:t>Variable dependiente: Coeficiente probit de los estados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Variables</w:t>
            </w:r>
          </w:p>
        </w:tc>
        <w:tc>
          <w:tcPr>
            <w:tcW w:type="dxa" w:w="2880"/>
          </w:tcPr>
          <w:p>
            <w:r>
              <w:t>Modelo Inicial</w:t>
            </w:r>
          </w:p>
        </w:tc>
        <w:tc>
          <w:tcPr>
            <w:tcW w:type="dxa" w:w="2880"/>
          </w:tcPr>
          <w:p>
            <w:r>
              <w:t>Modelo Final</w:t>
            </w:r>
          </w:p>
        </w:tc>
      </w:tr>
      <w:tr>
        <w:tc>
          <w:tcPr>
            <w:tcW w:type="dxa" w:w="2880"/>
          </w:tcPr>
          <w:p>
            <w:r>
              <w:t>Constante</w:t>
            </w:r>
          </w:p>
        </w:tc>
        <w:tc>
          <w:tcPr>
            <w:tcW w:type="dxa" w:w="2880"/>
          </w:tcPr>
          <w:p>
            <w:r>
              <w:t>8.567526834043724</w:t>
            </w:r>
          </w:p>
        </w:tc>
        <w:tc>
          <w:tcPr>
            <w:tcW w:type="dxa" w:w="2880"/>
          </w:tcPr>
          <w:p>
            <w:r>
              <w:t>10.286290070466675</w:t>
            </w:r>
          </w:p>
        </w:tc>
      </w:tr>
      <w:tr>
        <w:tc>
          <w:tcPr>
            <w:tcW w:type="dxa" w:w="2880"/>
          </w:tcPr>
          <w:p>
            <w:r>
              <w:t>ln(días desde 10 muertes)</w:t>
            </w:r>
          </w:p>
        </w:tc>
        <w:tc>
          <w:tcPr>
            <w:tcW w:type="dxa" w:w="2880"/>
          </w:tcPr>
          <w:p>
            <w:r>
              <w:t>-7.589153121165419</w:t>
            </w:r>
          </w:p>
        </w:tc>
        <w:tc>
          <w:tcPr>
            <w:tcW w:type="dxa" w:w="2880"/>
          </w:tcPr>
          <w:p>
            <w:r>
              <w:t>-9.513355128010549</w:t>
            </w:r>
          </w:p>
        </w:tc>
      </w:tr>
      <w:tr>
        <w:tc>
          <w:tcPr>
            <w:tcW w:type="dxa" w:w="2880"/>
          </w:tcPr>
          <w:p>
            <w:r>
              <w:t>ln(días desde 10 muertes)^2</w:t>
            </w:r>
          </w:p>
        </w:tc>
        <w:tc>
          <w:tcPr>
            <w:tcW w:type="dxa" w:w="2880"/>
          </w:tcPr>
          <w:p>
            <w:r>
              <w:t>0.20969603996147382</w:t>
            </w:r>
          </w:p>
        </w:tc>
        <w:tc>
          <w:tcPr>
            <w:tcW w:type="dxa" w:w="2880"/>
          </w:tcPr>
          <w:p>
            <w:r>
              <w:t>0.25987021270646593</w:t>
            </w:r>
          </w:p>
        </w:tc>
      </w:tr>
      <w:tr>
        <w:tc>
          <w:tcPr>
            <w:tcW w:type="dxa" w:w="2880"/>
          </w:tcPr>
          <w:p>
            <w:r>
              <w:t>ln(camas)</w:t>
            </w:r>
          </w:p>
        </w:tc>
        <w:tc>
          <w:tcPr>
            <w:tcW w:type="dxa" w:w="2880"/>
          </w:tcPr>
          <w:p>
            <w:r>
              <w:t>0.07771904809761807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ln(densidad)</w:t>
            </w:r>
          </w:p>
        </w:tc>
        <w:tc>
          <w:tcPr>
            <w:tcW w:type="dxa" w:w="2880"/>
          </w:tcPr>
          <w:p>
            <w:r>
              <w:t>0.022337601321287575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ln(edad)</w:t>
            </w:r>
          </w:p>
        </w:tc>
        <w:tc>
          <w:tcPr>
            <w:tcW w:type="dxa" w:w="2880"/>
          </w:tcPr>
          <w:p>
            <w:r>
              <w:t>0.5111241475346257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ln(escolaridad)</w:t>
            </w:r>
          </w:p>
        </w:tc>
        <w:tc>
          <w:tcPr>
            <w:tcW w:type="dxa" w:w="2880"/>
          </w:tcPr>
          <w:p>
            <w:r>
              <w:t>0.34106156244994934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ln(PIB)</w:t>
            </w:r>
          </w:p>
        </w:tc>
        <w:tc>
          <w:tcPr>
            <w:tcW w:type="dxa" w:w="2880"/>
          </w:tcPr>
          <w:p>
            <w:r>
              <w:t>-0.9603674297160214</w:t>
            </w:r>
          </w:p>
        </w:tc>
        <w:tc>
          <w:tcPr>
            <w:tcW w:type="dxa" w:w="2880"/>
          </w:tcPr>
          <w:p>
            <w:r>
              <w:t>-0.5060471555845609</w:t>
            </w:r>
          </w:p>
        </w:tc>
      </w:tr>
      <w:tr>
        <w:tc>
          <w:tcPr>
            <w:tcW w:type="dxa" w:w="2880"/>
          </w:tcPr>
          <w:p>
            <w:r>
              <w:t>Pob. urbana</w:t>
            </w:r>
          </w:p>
        </w:tc>
        <w:tc>
          <w:tcPr>
            <w:tcW w:type="dxa" w:w="2880"/>
          </w:tcPr>
          <w:p>
            <w:r>
              <w:t>-0.05751304719077786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Pobreza</w:t>
            </w:r>
          </w:p>
        </w:tc>
        <w:tc>
          <w:tcPr>
            <w:tcW w:type="dxa" w:w="2880"/>
          </w:tcPr>
          <w:p>
            <w:r>
              <w:t>0.03031628951393503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Sin salud</w:t>
            </w:r>
          </w:p>
        </w:tc>
        <w:tc>
          <w:tcPr>
            <w:tcW w:type="dxa" w:w="2880"/>
          </w:tcPr>
          <w:p>
            <w:r>
              <w:t>-0.06288429603442484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Informalidad</w:t>
            </w:r>
          </w:p>
        </w:tc>
        <w:tc>
          <w:tcPr>
            <w:tcW w:type="dxa" w:w="2880"/>
          </w:tcPr>
          <w:p>
            <w:r>
              <w:t>-0.06389729049027182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Turismo</w:t>
            </w:r>
          </w:p>
        </w:tc>
        <w:tc>
          <w:tcPr>
            <w:tcW w:type="dxa" w:w="2880"/>
          </w:tcPr>
          <w:p>
            <w:r>
              <w:t>0.13662203469305767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ListBullet"/>
      </w:pPr>
      <w:r>
        <w:t>Los días desde las 10 muertes representan el número de días que pasaron desde que el estado acumuló 10 muertes por COVID hasta el 12 de julio de 2020.</w:t>
      </w:r>
    </w:p>
    <w:p>
      <w:pPr>
        <w:pStyle w:val="ListBullet"/>
      </w:pPr>
      <w:r>
        <w:t>ln(camas) es el logaritmo natural del número de camas hospitalarias por cada 100 mil habitantes de cada estado.</w:t>
      </w:r>
    </w:p>
    <w:p>
      <w:pPr>
        <w:pStyle w:val="ListBullet"/>
      </w:pPr>
      <w:r>
        <w:t>densidad representa la densidad de población de cada estado en 2015.</w:t>
      </w:r>
    </w:p>
    <w:p>
      <w:pPr>
        <w:pStyle w:val="ListBullet"/>
      </w:pPr>
      <w:r>
        <w:t>edad representa la edad mediana de la población de cada estado en 2015</w:t>
      </w:r>
    </w:p>
    <w:p>
      <w:pPr>
        <w:pStyle w:val="ListBullet"/>
      </w:pPr>
      <w:r>
        <w:t>escolaridad representa el grado de escolaridad promedio de la población de cada estado en 2015.</w:t>
      </w:r>
    </w:p>
    <w:p>
      <w:pPr>
        <w:pStyle w:val="ListBullet"/>
      </w:pPr>
      <w:r>
        <w:t>PIB representa el PIB per cápita de cada estado en 2018.</w:t>
      </w:r>
    </w:p>
    <w:p>
      <w:pPr>
        <w:pStyle w:val="ListBullet"/>
      </w:pPr>
      <w:r>
        <w:t>Población urbana representa el porcentaje de la población de cada estado que vivía en el área urbana en 2015.</w:t>
      </w:r>
    </w:p>
    <w:p>
      <w:pPr>
        <w:pStyle w:val="ListBullet"/>
      </w:pPr>
      <w:r>
        <w:t>Pobreza representa el porcentaje de la población de cada estado que vivía en condición de pobreza patrimonial en 2018.</w:t>
      </w:r>
    </w:p>
    <w:p>
      <w:pPr>
        <w:pStyle w:val="ListBullet"/>
      </w:pPr>
      <w:r>
        <w:t>Sin salud representa el porcentaje de la población de cada estado que no contaba con acceso a los servicios de salud en 2018.</w:t>
      </w:r>
    </w:p>
    <w:p>
      <w:pPr>
        <w:pStyle w:val="ListBullet"/>
      </w:pPr>
      <w:r>
        <w:t>Informalidad representa el porcentaje de la PEA de cada estado que trabajaba en el sector informal en 2018.</w:t>
      </w:r>
    </w:p>
    <w:p>
      <w:pPr>
        <w:pStyle w:val="ListBullet"/>
      </w:pPr>
      <w:r>
        <w:t>Turismo es el porcentaje que representa el turismo del PIB total de cada estado.</w:t>
      </w:r>
    </w:p>
    <w:p>
      <w:pPr>
        <w:pStyle w:val="Heading1"/>
      </w:pPr>
      <w:r>
        <w:t>Coeficientes probit vs valores ajustados de la regresión final</w:t>
      </w:r>
    </w:p>
    <w:p>
      <w:r>
        <w:drawing>
          <wp:inline xmlns:a="http://schemas.openxmlformats.org/drawingml/2006/main" xmlns:pic="http://schemas.openxmlformats.org/drawingml/2006/picture">
            <wp:extent cx="4572000" cy="3138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itVSaju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8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Efecto de los días desde las 10 muertes</w:t>
      </w:r>
    </w:p>
    <w:p>
      <w:r>
        <w:t>La siguiente gráfica muestra el efecto de los días que han pasado desde que los estados acumularon 10 muertes sobre el valor probit calculado con la regresión, suponiendo que ln(PIB)=0.</w:t>
      </w:r>
    </w:p>
    <w:p>
      <w:r>
        <w:drawing>
          <wp:inline xmlns:a="http://schemas.openxmlformats.org/drawingml/2006/main" xmlns:pic="http://schemas.openxmlformats.org/drawingml/2006/picture">
            <wp:extent cx="4572000" cy="325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itVSdi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0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