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mmaryTitle"/>
      </w:pPr>
      <w:r>
        <w:t>Implementação e Avaliação de Algoritmos de Machine Learning para Previsão de Ataques Cibernéticos</w:t>
      </w:r>
    </w:p>
    <w:p>
      <w:pPr>
        <w:keepLines w:val="0"/>
        <w:widowControl/>
        <w:spacing w:after="0" w:line="360" w:lineRule="auto"/>
        <w:ind w:firstLine="0"/>
        <w:jc w:val="center"/>
      </w:pPr>
      <w:r>
        <w:t>Emili Vieira Tabuti</w:t>
      </w:r>
      <w:r>
        <w:rPr>
          <w:i/>
        </w:rPr>
        <w:t xml:space="preserve"> e Daniel Couto Gatti</w:t>
      </w:r>
      <w:r>
        <w:t>*</w:t>
      </w:r>
    </w:p>
    <w:p>
      <w:pPr>
        <w:keepLines w:val="0"/>
        <w:widowControl/>
        <w:spacing w:after="0" w:line="360" w:lineRule="auto"/>
        <w:ind w:firstLine="0"/>
        <w:jc w:val="center"/>
      </w:pPr>
      <w:r>
        <w:t>*Ciência da Computação, Pontifícia Universidade Católica de São Paulo</w:t>
      </w:r>
    </w:p>
    <w:p>
      <w:pPr>
        <w:keepLines w:val="0"/>
        <w:widowControl/>
        <w:spacing w:after="0" w:line="360" w:lineRule="auto"/>
        <w:ind w:firstLine="0"/>
        <w:jc w:val="center"/>
      </w:pPr>
      <w:r>
        <w:t>**Faculdade de Ciências Exatas e Tecnologia, Pontifícia Universidade Católica de São Paulo</w:t>
      </w:r>
    </w:p>
    <w:p>
      <w:pPr>
        <w:keepLines w:val="0"/>
        <w:widowControl/>
        <w:spacing w:after="0" w:line="360" w:lineRule="auto"/>
        <w:ind w:firstLine="0"/>
        <w:jc w:val="center"/>
      </w:pPr>
      <w:r>
        <w:t xml:space="preserve">E-mails: </w:t>
      </w:r>
      <w:r>
        <w:rPr>
          <w:b/>
          <w:color w:val="B00020"/>
        </w:rPr>
        <w:t>TODO: informar e-mail institucional da estudante</w:t>
      </w:r>
      <w:r>
        <w:t xml:space="preserve">; </w:t>
      </w:r>
      <w:r>
        <w:rPr>
          <w:b/>
          <w:color w:val="B00020"/>
        </w:rPr>
        <w:t>TODO: informar e-mail institucional do orientador</w:t>
      </w:r>
    </w:p>
    <w:p>
      <w:pPr>
        <w:keepLines w:val="0"/>
        <w:widowControl/>
        <w:spacing w:after="0" w:line="240" w:lineRule="auto"/>
        <w:ind w:firstLine="0"/>
        <w:jc w:val="both"/>
      </w:pPr>
      <w:r>
        <w:rPr>
          <w:b/>
        </w:rPr>
        <w:t>Resumo:</w:t>
      </w:r>
      <w:r>
        <w:t xml:space="preserve"> Esta pesquisa implementou e avaliou algoritmos de aprendizado de máquina para apoiar alertas de segurança de redes. Random Forest, Decision Tree e LSTM foram comparados no UNSW-NB15 por três folds cronológicos expansivos e um teste futuro fechado. Pré-processamento e seleção de atributos foram ajustados somente no treino de cada fold, e as janelas de dez registros não atravessaram partições, sessões ou arquivos. O protocolo selecionou 10 atributos para Decision Tree, 20 para LSTM e 30 para Random Forest antes da única abertura do teste. Em 306.701 janelas futuras, o Random Forest alcançou F1 de 0,9261, PR-AUC de 0,9856 e revocação de 0,9525, permanecendo próximo do F1 médio de 0,9236 no desenvolvimento. O modelo vencedor foi integrado a uma API que recebe dados brutos e executa internamente pré-processamento, seleção e inferência. Uma análise prospectiva adicional definiu horizontes de 5 a 60 segundos, mas encontrou somente cinco eventos adequados após excluir ataques ativos ou recentes, número insuficiente para avaliar antecipação. O estudo entrega um protótipo funcional de detecção, uma avaliação de generalização temporal e os requisitos para continuar a pesquisa sobre previsão antecipada.</w:t>
      </w:r>
    </w:p>
    <w:p>
      <w:pPr>
        <w:keepLines w:val="0"/>
        <w:widowControl/>
        <w:spacing w:after="0" w:line="240" w:lineRule="auto"/>
        <w:ind w:firstLine="0"/>
        <w:jc w:val="both"/>
      </w:pPr>
      <w:r>
        <w:rPr>
          <w:b/>
        </w:rPr>
        <w:t>Palavras-chave:</w:t>
      </w:r>
      <w:r>
        <w:t xml:space="preserve"> Aprendizado de Máquina. Segurança Cibernética. Detecção de Intrusões. Random Forest. LSTM.</w:t>
      </w:r>
    </w:p>
    <w:p>
      <w:pPr>
        <w:keepLines w:val="0"/>
        <w:widowControl/>
        <w:spacing w:after="0" w:line="240" w:lineRule="auto"/>
        <w:ind w:firstLine="0"/>
        <w:jc w:val="both"/>
      </w:pPr>
      <w:r>
        <w:rPr>
          <w:b/>
        </w:rPr>
        <w:t>Classificação das áreas de conhecimento:</w:t>
      </w:r>
      <w:r>
        <w:t xml:space="preserve"> 1.03.00.00-7 — Ciência da Computação; 1.03.06.00-5 — Inteligência Artificial.</w:t>
      </w:r>
    </w:p>
    <w:p>
      <w:pPr>
        <w:pStyle w:val="Heading3"/>
      </w:pPr>
      <w:r>
        <w:t>Introdução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Redes acadêmicas reúnem serviços, dispositivos e perfis de uso heterogêneos, condição que amplia a superfície de ataque e dificulta a manutenção de regras fixas. Sistemas de detecção de intrusões analisam eventos e tráfego para reconhecer comportamentos maliciosos, mas abordagens baseadas apenas em assinaturas dependem da atualização contínua de padrões conhecidos.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aprendizado de máquina pode complementar esses mecanismos ao estimar relações entre atributos de tráfego e rótulos de segurança. A literatura apresenta árvores de decisão, métodos de ensemble e redes profundas para essa finalidade [1–4]. Contudo, diferenças entre conjuntos, atributos e protocolos experimentais dificultam comparações diretas [3]. Duplicações, sobreposições e vazamento de informação entre partições também podem elevar artificialmente as métricas [5].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Este trabalho integra uma pesquisa sobre alertas para redes acadêmicas e concentra-se no módulo de aprendizado de máquina. O estudo utilizou o UNSW-NB15, conjunto público que preserva timestamps e favorece a reprodução.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A pesquisa avaliou a possibilidade de construir rótulos futuros com os dados temporais disponíveis. Como o protocolo estrito encontrou poucos eventos adequados para essa finalidade, a implementação funcional prosseguiu com a detecção do estado atual do tráfego a partir dos registros recentes.</w:t>
      </w:r>
    </w:p>
    <w:p>
      <w:pPr>
        <w:pStyle w:val="Heading3"/>
      </w:pPr>
      <w:r>
        <w:t>Objetivos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objetivo geral foi implementar e avaliar algoritmos de aprendizado de máquina para apoiar um sistema de alerta de segurança. Os objetivos específicos abrangeram revisão bibliográfica, seleção e treinamento dos modelos, padronização das métricas, comparação dos resultados e serialização dos artefatos.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trabalho também avaliou se os dados disponíveis permitiam formular uma tarefa prospectiva e buscou disponibilizar o modelo selecionado por uma API integrada ao painel de visualização.</w:t>
      </w:r>
    </w:p>
    <w:p>
      <w:pPr>
        <w:pStyle w:val="Heading3"/>
      </w:pPr>
      <w:r>
        <w:t>Metodologia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estudo adotou abordagem quantitativa e experimental, sem coleta com participantes humanos. O UNSW-NB15 contém 1.584.259 registros, 43 campos brutos elegíveis e 204 atributos após o pré-processamento.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 xml:space="preserve">Para avaliar a viabilidade da previsão, os fluxos do UNSW-NB15 foram ordenados por arquivo e tempo. Ataques ativos foram definidos pelo intervalo inclusivo entre </w:t>
      </w:r>
      <w:r>
        <w:rPr>
          <w:rFonts w:ascii="Courier New" w:hAnsi="Courier New"/>
        </w:rPr>
        <w:t>Stime</w:t>
      </w:r>
      <w:r>
        <w:t xml:space="preserve"> e </w:t>
      </w:r>
      <w:r>
        <w:rPr>
          <w:rFonts w:ascii="Courier New" w:hAnsi="Courier New"/>
        </w:rPr>
        <w:t>Ltime</w:t>
      </w:r>
      <w:r>
        <w:t>, e os rótulos indicaram o início de um ataque nos 5, 15, 30 ou 60 segundos seguintes.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A etapa prospectiva excluiu instantes com ataque em andamento e calculou sessenta atributos usando somente fluxos concluídos nos 30, 60 ou 120 segundos anteriores. Um filtro adicional removeu históricos com ataques concluídos nos últimos 120 segundos, e uma purga de 180 segundos separou as partições temporais.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Como essa análise identificou poucos eventos adequados para previsão, o treinamento dos modelos prosseguiu com foco na detecção de ataques presentes nos dados.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pré-processamento removeu duplicações exatas, tratou valores ausentes e aplicou transformação logarítmica em colunas muito assimétricas. O RobustScaler realizou o escalonamento por mediana e intervalo interquartil, enquanto as variáveis categóricas do UNSW-NB15 receberam codificação one-hot. Categorias e estatísticas foram aprendidas apenas no treino de cada fold.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Cada exemplo reuniu dez registros consecutivos. A LSTM recebeu a representação sequencial, enquanto Random Forest e Decision Tree utilizaram as janelas achatadas. O alvo correspondeu ao décimo registro, preservando nove observações anteriores como contexto.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Random Forest utilizou cem estimadores, profundidade máxima igual a vinte e execução em dois processos paralelos. A Decision Tree também adotou profundidade máxima de vinte. A LSTM empregou 64 unidades recorrentes, uma camada densa de 32 unidades e saída sigmoide.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UNSW-NB15 foi ordenado por tempo e dividido em três sessões naturais. Depois da purga, treino, validação e teste reuniram 1.023.187, 254.326 e 306.710 registros. O desenvolvimento usou três folds cronológicos expansivos, sem embaralhamento e com embargo suficiente para garantir que os fluxos de treino terminassem antes do início da validação.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 xml:space="preserve">Cada algoritmo foi avaliado com todos os 204 atributos e com os 10, 20 e 30 primeiros de um ranking aprendido somente no treino, totalizando 36 execuções. F1 foi a métrica primária, complementada por PR-AUC, AUC-ROC, precisão, revocação e taxa de falsos positivos. O protocolo congelou Decision Tree </w:t>
      </w:r>
      <w:r>
        <w:rPr>
          <w:rFonts w:ascii="Courier New" w:hAnsi="Courier New"/>
        </w:rPr>
        <w:t>top_10</w:t>
      </w:r>
      <w:r>
        <w:t xml:space="preserve">, LSTM </w:t>
      </w:r>
      <w:r>
        <w:rPr>
          <w:rFonts w:ascii="Courier New" w:hAnsi="Courier New"/>
        </w:rPr>
        <w:t>top_20</w:t>
      </w:r>
      <w:r>
        <w:t xml:space="preserve"> e Random Forest </w:t>
      </w:r>
      <w:r>
        <w:rPr>
          <w:rFonts w:ascii="Courier New" w:hAnsi="Courier New"/>
        </w:rPr>
        <w:t>top_30</w:t>
      </w:r>
      <w:r>
        <w:t xml:space="preserve"> antes de abrir o teste.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Os modelos finais foram ajustados em treino+validação e avaliados juntos uma única vez em 306.701 janelas do teste futuro. O Random Forest vencedor foi serializado com pré-processador, seleção e esquema bruto e disponibilizado por uma API FastAPI. Na versão auditada, a suíte automatizada aprovou 175 testes.</w:t>
      </w:r>
    </w:p>
    <w:p>
      <w:pPr>
        <w:pStyle w:val="Heading3"/>
      </w:pPr>
      <w:r>
        <w:t>Resultados e discussão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No desenvolvimento temporal, o melhor F1 médio foi 0,8923 ± 0,0235 para Decision Tree com 10 atributos, 0,8812 ± 0,0156 para LSTM com 20 e 0,9236 ± 0,0211 para Random Forest com 30. As três seleções superaram as configurações com todos os atributos. No Random Forest, a redução de 204 para 30 atributos correspondeu a 85,3% da entrada por registro.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No teste futuro, o Random Forest alcançou F1 de 0,9261, PR-AUC de 0,9856, AUC-ROC de 0,9987, precisão de 0,9010, revocação de 0,9525 e FPR de 0,0094. A Decision Tree obteve F1 de 0,8898, e a LSTM, 0,8846. O F1 do vencedor ficou apenas 0,0025 acima da média de desenvolvimento, sem ajuste posterior ao teste.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Random Forest apresentou o maior F1 em todas as categorias do teste, mas as classes raras permaneceram difíceis. O F1 foi 0,0301 para Worms, 0,2187 para Shellcode, 0,3054 para Analysis e 0,3187 para Backdoor. Esses valores mostram que PR-AUC e métricas por categoria são necessárias mesmo quando a separação global medida por AUC-ROC é alta.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Essas diferenças demonstram que métricas agregadas não descrevem toda a capacidade do sistema. Uma avaliação operacional deve considerar cada categoria e o custo dos erros. O protótipo serializou Random Forest e LSTM, e a API adotou o Random Forest como modelo padrão, demonstrando a integração técnica com o painel. Entretanto, não houve validação em tráfego de uma rede acadêmica real.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teste representa uma sessão posterior, não compartilha registros com o desenvolvimento e não participa do ajuste das transformações. Por isso, o resultado constitui evidência de generalização temporal [5].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alvo do pipeline de comparação descreve o estado no final da janela corrente. Dessa forma, o modelo identifica ataques presentes com apoio dos registros anteriores, enquanto a previsão antecipada requer horizonte explícito, atributos estritamente históricos e divisão temporal [7].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A avaliação prospectiva identificou 277 períodos de ataque em 66.484 instantes. Antes do filtro estrito, existiam entre 337 e 466 rótulos positivos, mas 85% a 97% deles continham ataques no histórico. Esses casos representavam principalmente persistência ou recorrência do mesmo período de ataque.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Após a exclusão de ataques recentes, restaram 37.311 instantes e somente cinco eventos estritos. O treino recebeu três eventos, e validação e teste receberam um evento cada. Nos horizontes de 30 e 60 segundos, as duas partições futuras não possuíam exemplos negativos.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Essa distribuição não ofereceu elementos suficientes para comparar modelos prospectivos. O UNSW-NB15 permanece adequado para detecção, classificação, recorrência e auditorias metodológicas, enquanto a previsão estrita depende de mais eventos de ataque separados e períodos benignos anteriores.</w:t>
      </w:r>
    </w:p>
    <w:p>
      <w:pPr>
        <w:pStyle w:val="Heading3"/>
      </w:pPr>
      <w:r>
        <w:t>Conclusões</w:t>
      </w:r>
    </w:p>
    <w:p>
      <w:pPr>
        <w:keepLines w:val="0"/>
        <w:widowControl/>
        <w:spacing w:after="0" w:line="360" w:lineRule="auto"/>
        <w:ind w:firstLine="0"/>
        <w:jc w:val="both"/>
      </w:pPr>
      <w:r>
        <w:t xml:space="preserve">O trabalho implementou três modelos e um fluxo auditável de avaliação temporal, além de entregar artefato serializado, API e integração com painel. O Random Forest </w:t>
      </w:r>
      <w:r>
        <w:rPr>
          <w:rFonts w:ascii="Courier New" w:hAnsi="Courier New"/>
        </w:rPr>
        <w:t>top_30</w:t>
      </w:r>
      <w:r>
        <w:t xml:space="preserve"> apresentou o melhor equilíbrio no período futuro e foi adotado no serviço. A avaliação por categoria evidenciou fragilidade nas classes raras e confirmou que métricas globais devem ser acompanhadas por análises específicas.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A pesquisa avaliou as condições para previsão antecipada e verificou que os dados disponíveis não contêm eventos suficientes para essa avaliação. Com base nesse resultado, o protótipo foi desenvolvido para identificar o estado atual do tráfego, tarefa compatível com a estrutura das bases utilizadas.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A continuidade exige uma coleta controlada que identifique separadamente cada evento de ataque e registre períodos benignos, possíveis precursores e fases de recuperação. Eventos completos e distintos devem compor treino, validação e teste, acompanhados de execuções inteiramente benignas.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Uma auditoria identificou diferenças entre versões de dependências registradas no protocolo e usadas na execução final. As decisões permaneceram congeladas e o teste não foi repetido, mas o desvio deve acompanhar a interpretação e a reprodução do experimento. Em estudos futuros, o ambiente executável também deverá ser congelado antes da abertura do teste.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O protocolo prospectivo deverá ser definido antes do treinamento, e todas as transformações deverão ser ajustadas somente no treino. A avaliação final deve preservar um teste fechado e incluir PR-AUC, revocação por evento, antecedência do primeiro alerta e falsos alertas por hora.</w:t>
      </w:r>
    </w:p>
    <w:p>
      <w:pPr>
        <w:pStyle w:val="Heading3"/>
      </w:pPr>
      <w:r>
        <w:t>Agência de Fomento</w:t>
      </w:r>
    </w:p>
    <w:p>
      <w:pPr>
        <w:keepLines w:val="0"/>
        <w:widowControl/>
        <w:spacing w:after="0" w:line="360" w:lineRule="auto"/>
        <w:ind w:firstLine="0"/>
        <w:jc w:val="both"/>
      </w:pPr>
      <w:r>
        <w:t>Programa Institucional de Bolsas de Iniciação Científica do Conselho Nacional de Desenvolvimento Científico e Tecnológico — PIBIC-CNPq.</w:t>
      </w:r>
    </w:p>
    <w:p>
      <w:pPr>
        <w:pStyle w:val="Heading3"/>
      </w:pPr>
      <w:r>
        <w:t>Referências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[1] BERTOLI, G. C. et al. An end-to-end framework for machine learning-based network intrusion detection system. </w:t>
      </w:r>
      <w:r>
        <w:rPr>
          <w:i/>
        </w:rPr>
        <w:t>IEEE Access</w:t>
      </w:r>
      <w:r>
        <w:t>, v. 9, p. 106790–106805, 2021. DOI: 10.1109/ACCESS.2021.3101188.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[2] YIN, C. et al. A deep learning approach for intrusion detection using recurrent neural networks. </w:t>
      </w:r>
      <w:r>
        <w:rPr>
          <w:i/>
        </w:rPr>
        <w:t>IEEE Access</w:t>
      </w:r>
      <w:r>
        <w:t>, v. 5, p. 21954–21961, 2017. DOI: 10.1109/ACCESS.2017.2762418.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[3] LE JEUNE, L.; GOEDEMÉ, T.; MENTENS, N. Machine learning for misuse-based network intrusion detection: overview, unified evaluation and feature choice comparison framework. </w:t>
      </w:r>
      <w:r>
        <w:rPr>
          <w:i/>
        </w:rPr>
        <w:t>IEEE Access</w:t>
      </w:r>
      <w:r>
        <w:t>, v. 9, p. 63995–64015, 2021. DOI: 10.1109/ACCESS.2021.3075066.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[4] BERMAN, D. S. et al. A survey of deep learning methods for cyber security. </w:t>
      </w:r>
      <w:r>
        <w:rPr>
          <w:i/>
        </w:rPr>
        <w:t>Information</w:t>
      </w:r>
      <w:r>
        <w:t>, v. 10, n. 4, art. 122, 2019. DOI: 10.3390/info10040122.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[5] TRAN, N. et al. Data curation and quality evaluation for machine learning-based cyber intrusion detection. </w:t>
      </w:r>
      <w:r>
        <w:rPr>
          <w:i/>
        </w:rPr>
        <w:t>IEEE Access</w:t>
      </w:r>
      <w:r>
        <w:t>, v. 10, p. 121900–121923, 2022. DOI: 10.1109/ACCESS.2022.3211313.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[6] SHAO, Lisong et al. Design and implementation of a machine learning-based network intrusion detection system. In: ASIA PACIFIC CONFERENCE ON COMPUTING TECHNOLOGIES, COMMUNICATIONS AND NETWORKING, 2024, Chengdu. </w:t>
      </w:r>
      <w:r>
        <w:rPr>
          <w:i/>
        </w:rPr>
        <w:t>Proceedings [...]</w:t>
      </w:r>
      <w:r>
        <w:t>. New York: ACM, 2024. p. 137–142. DOI: 10.1145/3685767.3685790.</w:t>
      </w:r>
    </w:p>
    <w:p>
      <w:pPr>
        <w:keepLines w:val="0"/>
        <w:widowControl/>
        <w:spacing w:after="120" w:line="240" w:lineRule="auto"/>
        <w:ind w:firstLine="0"/>
        <w:jc w:val="left"/>
      </w:pPr>
      <w:r>
        <w:t xml:space="preserve">[7] ANKALAKI, S. et al. Cyber attack prediction: from traditional machine learning to generative artificial intelligence. </w:t>
      </w:r>
      <w:r>
        <w:rPr>
          <w:i/>
        </w:rPr>
        <w:t>IEEE Access</w:t>
      </w:r>
      <w:r>
        <w:t>, v. 13, p. 44662–44706, 2025. DOI: 10.1109/ACCESS.2025.3547433.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35º Encontro de Iniciação Científica — PUC-SP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360"/>
      <w:jc w:val="center"/>
    </w:pPr>
    <w:rPr>
      <w:rFonts w:ascii="Times New Roman" w:hAnsi="Times New Roman"/>
      <w:b/>
      <w:sz w:val="28"/>
    </w:rPr>
  </w:style>
  <w:style w:type="paragraph" w:customStyle="1" w:styleId="SummaryTitle">
    <w:name w:val="Summary Title"/>
    <w:pPr>
      <w:spacing w:after="240"/>
      <w:jc w:val="center"/>
    </w:pPr>
    <w:rPr>
      <w:rFonts w:ascii="Times New Roman" w:hAnsi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Estendido — Emili Vieira Tabuti</dc:title>
  <dc:subject>Iniciação Científica — PUC-SP</dc:subject>
  <dc:creator>Emili Vieira Tabuti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