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9" w:name="Xfb64a16c51a6413fe9eb3a03980ece4d038bcbb"/>
    <w:p>
      <w:pPr>
        <w:pStyle w:val="Heading1"/>
      </w:pPr>
      <w:r>
        <w:t xml:space="preserve">MOLDOVA INFRASTRUCTURE VULNERABILITIES ASSESSMENT</w:t>
      </w:r>
    </w:p>
    <w:bookmarkStart w:id="9" w:name="X483c0b81642544c6874c23e6ecd17adc663049a"/>
    <w:p>
      <w:pPr>
        <w:pStyle w:val="Heading2"/>
      </w:pPr>
      <w:r>
        <w:t xml:space="preserve">PMESII-ASCOPE Framework Analysis for DG ENEST</w:t>
      </w:r>
    </w:p>
    <w:p>
      <w:pPr>
        <w:pStyle w:val="FirstParagraph"/>
      </w:pPr>
      <w:r>
        <w:rPr>
          <w:b/>
          <w:bCs/>
        </w:rPr>
        <w:t xml:space="preserve">Prepared for:</w:t>
      </w:r>
      <w:r>
        <w:t xml:space="preserve"> </w:t>
      </w:r>
      <w:r>
        <w:t xml:space="preserve">Directorate-General for Enlargement and Eastern Neighbourhood (DG ENEST)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Infrastructure vulnerabilities relevant to Russian external influence operations</w:t>
      </w:r>
      <w:r>
        <w:br/>
      </w:r>
      <w:r>
        <w:rPr>
          <w:b/>
          <w:bCs/>
        </w:rPr>
        <w:t xml:space="preserve">Timeframe:</w:t>
      </w:r>
      <w:r>
        <w:t xml:space="preserve"> </w:t>
      </w:r>
      <w:r>
        <w:t xml:space="preserve">Current situation and next 12 months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September 2025</w:t>
      </w:r>
    </w:p>
    <w:p>
      <w:r>
        <w:pict>
          <v:rect style="width:0;height:1.5pt" o:hralign="center" o:hrstd="t" o:hr="t"/>
        </w:pict>
      </w:r>
    </w:p>
    <w:bookmarkEnd w:id="9"/>
    <w:bookmarkStart w:id="1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Moldova’s infrastructure represents a critical vulnerability point for Russian influence operations during EU accession</w:t>
      </w:r>
      <w:r>
        <w:rPr>
          <w:rStyle w:val="FootnoteReference"/>
        </w:rPr>
        <w:footnoteReference w:id="10"/>
      </w:r>
      <w:r>
        <w:t xml:space="preserve">. This master document compiles comprehensive ASCOPE analysis across all PMESII domains, with granular fact attribution and complete source citations from 35+ reputable international organizations</w:t>
      </w:r>
      <w:r>
        <w:rPr>
          <w:rStyle w:val="FootnoteReference"/>
        </w:rPr>
        <w:footnoteReference w:id="11"/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4" w:name="pmesii-ascope-infrastructure-analysis"/>
    <w:p>
      <w:pPr>
        <w:pStyle w:val="Heading2"/>
      </w:pPr>
      <w:r>
        <w:t xml:space="preserve">PMESII-ASCOPE INFRASTRUCTURE ANALYSIS</w:t>
      </w:r>
    </w:p>
    <w:bookmarkStart w:id="13" w:name="X8e02ca83de906aed58bd91dd2918dd01ccf6d17"/>
    <w:p>
      <w:pPr>
        <w:pStyle w:val="Heading3"/>
      </w:pPr>
      <w:r>
        <w:t xml:space="preserve">INFRASTRUCTURE COLUMN - MAIN PMESII SHEET</w:t>
      </w:r>
    </w:p>
    <w:bookmarkEnd w:id="13"/>
    <w:bookmarkEnd w:id="14"/>
    <w:bookmarkStart w:id="22" w:name="areas---transnistria-region"/>
    <w:p>
      <w:pPr>
        <w:pStyle w:val="Heading2"/>
      </w:pPr>
      <w:r>
        <w:t xml:space="preserve">AREAS - Transnistria Region</w:t>
      </w:r>
    </w:p>
    <w:p>
      <w:pPr>
        <w:pStyle w:val="FirstParagraph"/>
      </w:pPr>
      <w:r>
        <w:t xml:space="preserve">• Critical energy infrastructure (MRTN gas network)</w:t>
      </w:r>
      <w:r>
        <w:rPr>
          <w:rStyle w:val="FootnoteReference"/>
        </w:rPr>
        <w:footnoteReference w:id="15"/>
      </w:r>
      <w:r>
        <w:t xml:space="preserve"> </w:t>
      </w:r>
      <w:r>
        <w:t xml:space="preserve">• Electricity distribution systems</w:t>
      </w:r>
      <w:r>
        <w:rPr>
          <w:rStyle w:val="FootnoteReference"/>
        </w:rPr>
        <w:footnoteReference w:id="16"/>
      </w:r>
      <w:r>
        <w:t xml:space="preserve"> </w:t>
      </w:r>
      <w:r>
        <w:t xml:space="preserve">• Russian military control over infrastructure sites</w:t>
      </w:r>
      <w:r>
        <w:rPr>
          <w:rStyle w:val="FootnoteReference"/>
        </w:rPr>
        <w:footnoteReference w:id="17"/>
      </w:r>
      <w:r>
        <w:t xml:space="preserve"> </w:t>
      </w:r>
      <w:r>
        <w:t xml:space="preserve">• Peacekeeping forces presence</w:t>
      </w:r>
      <w:r>
        <w:rPr>
          <w:rStyle w:val="FootnoteReference"/>
        </w:rPr>
        <w:footnoteReference w:id="18"/>
      </w:r>
      <w:r>
        <w:t xml:space="preserve"> </w:t>
      </w:r>
      <w:r>
        <w:t xml:space="preserve">• 15-20% energy supply disruption potential</w:t>
      </w:r>
      <w:r>
        <w:rPr>
          <w:rStyle w:val="FootnoteReference"/>
        </w:rPr>
        <w:footnoteReference w:id="19"/>
      </w:r>
      <w:r>
        <w:t xml:space="preserve"> </w:t>
      </w:r>
      <w:r>
        <w:t xml:space="preserve">• Staging area for cross-border operations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• Border crossing vulnerabilities</w:t>
      </w:r>
      <w:r>
        <w:rPr>
          <w:rStyle w:val="FootnoteReference"/>
        </w:rPr>
        <w:footnoteReference w:id="21"/>
      </w:r>
    </w:p>
    <w:p>
      <w:r>
        <w:pict>
          <v:rect style="width:0;height:1.5pt" o:hralign="center" o:hrstd="t" o:hr="t"/>
        </w:pict>
      </w:r>
    </w:p>
    <w:bookmarkEnd w:id="22"/>
    <w:bookmarkStart w:id="33" w:name="structures---physical-infrastructure"/>
    <w:p>
      <w:pPr>
        <w:pStyle w:val="Heading2"/>
      </w:pPr>
      <w:r>
        <w:t xml:space="preserve">STRUCTURES - Physical Infrastructure</w:t>
      </w:r>
    </w:p>
    <w:p>
      <w:pPr>
        <w:pStyle w:val="FirstParagraph"/>
      </w:pPr>
      <w:r>
        <w:t xml:space="preserve">• Energy: Gas pipelines</w:t>
      </w:r>
      <w:r>
        <w:rPr>
          <w:rStyle w:val="FootnoteReference"/>
        </w:rPr>
        <w:footnoteReference w:id="23"/>
      </w:r>
      <w:r>
        <w:t xml:space="preserve">, electricity grid</w:t>
      </w:r>
      <w:r>
        <w:rPr>
          <w:rStyle w:val="FootnoteReference"/>
        </w:rPr>
        <w:footnoteReference w:id="24"/>
      </w:r>
      <w:r>
        <w:t xml:space="preserve">, power plants (50+ years old)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• Transport: Rail corridors through Transnistria</w:t>
      </w:r>
      <w:r>
        <w:rPr>
          <w:rStyle w:val="FootnoteReference"/>
        </w:rPr>
        <w:footnoteReference w:id="26"/>
      </w:r>
      <w:r>
        <w:t xml:space="preserve">, border crossings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• Telecom: Fiber networks</w:t>
      </w:r>
      <w:r>
        <w:rPr>
          <w:rStyle w:val="FootnoteReference"/>
        </w:rPr>
        <w:footnoteReference w:id="28"/>
      </w:r>
      <w:r>
        <w:t xml:space="preserve">, data centers</w:t>
      </w:r>
      <w:r>
        <w:rPr>
          <w:rStyle w:val="FootnoteReference"/>
        </w:rPr>
        <w:footnoteReference w:id="29"/>
      </w:r>
      <w:r>
        <w:t xml:space="preserve">, satellite dependencies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• Facilities: Government buildings</w:t>
      </w:r>
      <w:r>
        <w:rPr>
          <w:rStyle w:val="FootnoteReference"/>
        </w:rPr>
        <w:footnoteReference w:id="31"/>
      </w:r>
      <w:r>
        <w:t xml:space="preserve">, financial institutions</w:t>
      </w:r>
      <w:r>
        <w:rPr>
          <w:rStyle w:val="FootnoteReference"/>
        </w:rPr>
        <w:footnoteReference w:id="32"/>
      </w:r>
    </w:p>
    <w:p>
      <w:r>
        <w:pict>
          <v:rect style="width:0;height:1.5pt" o:hralign="center" o:hrstd="t" o:hr="t"/>
        </w:pict>
      </w:r>
    </w:p>
    <w:bookmarkEnd w:id="33"/>
    <w:bookmarkStart w:id="42" w:name="capabilities---moldovas-abilities"/>
    <w:p>
      <w:pPr>
        <w:pStyle w:val="Heading2"/>
      </w:pPr>
      <w:r>
        <w:t xml:space="preserve">CAPABILITIES - Moldova’s Abilities</w:t>
      </w:r>
    </w:p>
    <w:p>
      <w:pPr>
        <w:pStyle w:val="FirstParagraph"/>
      </w:pPr>
      <w:r>
        <w:t xml:space="preserve">• Defense: Small military (6,000 personnel)</w:t>
      </w:r>
      <w:r>
        <w:rPr>
          <w:rStyle w:val="FootnoteReference"/>
        </w:rPr>
        <w:footnoteReference w:id="34"/>
      </w:r>
      <w:r>
        <w:t xml:space="preserve">, outdated equipment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• Cyber: Insufficient defenses against sophisticated attacks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• Maintenance: Aging Soviet systems requiring €2-3B upgrades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• Response: Limited rapid response capabilities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• EU Support: €600M energy diversification</w:t>
      </w:r>
      <w:r>
        <w:rPr>
          <w:rStyle w:val="FootnoteReference"/>
        </w:rPr>
        <w:footnoteReference w:id="39"/>
      </w:r>
      <w:r>
        <w:t xml:space="preserve">, €1.2B transportation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• Training: NATO programs for infrastructure security</w:t>
      </w:r>
      <w:r>
        <w:rPr>
          <w:rStyle w:val="FootnoteReference"/>
        </w:rPr>
        <w:footnoteReference w:id="41"/>
      </w:r>
    </w:p>
    <w:p>
      <w:r>
        <w:pict>
          <v:rect style="width:0;height:1.5pt" o:hralign="center" o:hrstd="t" o:hr="t"/>
        </w:pict>
      </w:r>
    </w:p>
    <w:bookmarkEnd w:id="42"/>
    <w:bookmarkStart w:id="61" w:name="Xcbdfc2e8ba0356cbb0572bf540bb3fa7a307648"/>
    <w:p>
      <w:pPr>
        <w:pStyle w:val="Heading2"/>
      </w:pPr>
      <w:r>
        <w:t xml:space="preserve">ORGANISATIONS - Key Infrastructure Actors</w:t>
      </w:r>
    </w:p>
    <w:p>
      <w:pPr>
        <w:pStyle w:val="FirstParagraph"/>
      </w:pPr>
      <w:r>
        <w:t xml:space="preserve">• Russian: Gazprom</w:t>
      </w:r>
      <w:r>
        <w:rPr>
          <w:rStyle w:val="FootnoteReference"/>
        </w:rPr>
        <w:footnoteReference w:id="43"/>
      </w:r>
      <w:r>
        <w:t xml:space="preserve">, Rosneft</w:t>
      </w:r>
      <w:r>
        <w:rPr>
          <w:rStyle w:val="FootnoteReference"/>
        </w:rPr>
        <w:footnoteReference w:id="44"/>
      </w:r>
      <w:r>
        <w:t xml:space="preserve">, Russian Railways</w:t>
      </w:r>
      <w:r>
        <w:rPr>
          <w:rStyle w:val="FootnoteReference"/>
        </w:rPr>
        <w:footnoteReference w:id="45"/>
      </w:r>
      <w:r>
        <w:t xml:space="preserve">, Military Contingent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• Moldovan: Ministry of Energy</w:t>
      </w:r>
      <w:r>
        <w:rPr>
          <w:rStyle w:val="FootnoteReference"/>
        </w:rPr>
        <w:footnoteReference w:id="47"/>
      </w:r>
      <w:r>
        <w:t xml:space="preserve">, Infrastructure Ministry</w:t>
      </w:r>
      <w:r>
        <w:rPr>
          <w:rStyle w:val="FootnoteReference"/>
        </w:rPr>
        <w:footnoteReference w:id="48"/>
      </w:r>
      <w:r>
        <w:t xml:space="preserve">, SIS</w:t>
      </w:r>
      <w:r>
        <w:rPr>
          <w:rStyle w:val="FootnoteReference"/>
        </w:rPr>
        <w:footnoteReference w:id="49"/>
      </w:r>
      <w:r>
        <w:t xml:space="preserve">, ANRE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• Private: Moldovagaz (51% Russian)</w:t>
      </w:r>
      <w:r>
        <w:rPr>
          <w:rStyle w:val="FootnoteReference"/>
        </w:rPr>
        <w:footnoteReference w:id="51"/>
      </w:r>
      <w:r>
        <w:t xml:space="preserve">, CET Nord/Sud</w:t>
      </w:r>
      <w:r>
        <w:rPr>
          <w:rStyle w:val="FootnoteReference"/>
        </w:rPr>
        <w:footnoteReference w:id="52"/>
      </w:r>
      <w:r>
        <w:t xml:space="preserve">, Orange Moldova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• International: European Commission</w:t>
      </w:r>
      <w:r>
        <w:rPr>
          <w:rStyle w:val="FootnoteReference"/>
        </w:rPr>
        <w:footnoteReference w:id="54"/>
      </w:r>
      <w:r>
        <w:t xml:space="preserve">, EIB</w:t>
      </w:r>
      <w:r>
        <w:rPr>
          <w:rStyle w:val="FootnoteReference"/>
        </w:rPr>
        <w:footnoteReference w:id="55"/>
      </w:r>
      <w:r>
        <w:t xml:space="preserve">, World Bank</w:t>
      </w:r>
      <w:r>
        <w:rPr>
          <w:rStyle w:val="FootnoteReference"/>
        </w:rPr>
        <w:footnoteReference w:id="56"/>
      </w:r>
      <w:r>
        <w:t xml:space="preserve">, Romanian companies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• NGOs: Transnistrian Authorities</w:t>
      </w:r>
      <w:r>
        <w:rPr>
          <w:rStyle w:val="FootnoteReference"/>
        </w:rPr>
        <w:footnoteReference w:id="58"/>
      </w:r>
      <w:r>
        <w:t xml:space="preserve">, International NGOs</w:t>
      </w:r>
      <w:r>
        <w:rPr>
          <w:rStyle w:val="FootnoteReference"/>
        </w:rPr>
        <w:footnoteReference w:id="59"/>
      </w:r>
      <w:r>
        <w:t xml:space="preserve">, Security Firms</w:t>
      </w:r>
      <w:r>
        <w:rPr>
          <w:rStyle w:val="FootnoteReference"/>
        </w:rPr>
        <w:footnoteReference w:id="60"/>
      </w:r>
    </w:p>
    <w:p>
      <w:r>
        <w:pict>
          <v:rect style="width:0;height:1.5pt" o:hralign="center" o:hrstd="t" o:hr="t"/>
        </w:pict>
      </w:r>
    </w:p>
    <w:bookmarkEnd w:id="61"/>
    <w:bookmarkStart w:id="75" w:name="people---key-decision-makers-influencers"/>
    <w:p>
      <w:pPr>
        <w:pStyle w:val="Heading2"/>
      </w:pPr>
      <w:r>
        <w:t xml:space="preserve">PEOPLE - Key Decision-Makers &amp; Influencers</w:t>
      </w:r>
    </w:p>
    <w:p>
      <w:pPr>
        <w:pStyle w:val="FirstParagraph"/>
      </w:pPr>
      <w:r>
        <w:t xml:space="preserve">• Moldovan Leadership: President Maia Sandu</w:t>
      </w:r>
      <w:r>
        <w:rPr>
          <w:rStyle w:val="FootnoteReference"/>
        </w:rPr>
        <w:footnoteReference w:id="62"/>
      </w:r>
      <w:r>
        <w:t xml:space="preserve">, PM Dorin Recean</w:t>
      </w:r>
      <w:r>
        <w:rPr>
          <w:rStyle w:val="FootnoteReference"/>
        </w:rPr>
        <w:footnoteReference w:id="63"/>
      </w:r>
      <w:r>
        <w:t xml:space="preserve">, Minister Parlicov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• Energy Executives: Moldovagaz CEO Vadim Ceban</w:t>
      </w:r>
      <w:r>
        <w:rPr>
          <w:rStyle w:val="FootnoteReference"/>
        </w:rPr>
        <w:footnoteReference w:id="65"/>
      </w:r>
      <w:r>
        <w:t xml:space="preserve">, CET Group Leadership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• EU Representatives: EU Ambassador</w:t>
      </w:r>
      <w:r>
        <w:rPr>
          <w:rStyle w:val="FootnoteReference"/>
        </w:rPr>
        <w:footnoteReference w:id="67"/>
      </w:r>
      <w:r>
        <w:t xml:space="preserve">, EC Energy Directorate</w:t>
      </w:r>
      <w:r>
        <w:rPr>
          <w:rStyle w:val="FootnoteReference"/>
        </w:rPr>
        <w:footnoteReference w:id="68"/>
      </w:r>
      <w:r>
        <w:t xml:space="preserve">, EIB Country Director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• Russian Influencers: Russian Ambassador</w:t>
      </w:r>
      <w:r>
        <w:rPr>
          <w:rStyle w:val="FootnoteReference"/>
        </w:rPr>
        <w:footnoteReference w:id="70"/>
      </w:r>
      <w:r>
        <w:t xml:space="preserve">, Gazprom Regional Directors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• Security: SIS Director Musteață</w:t>
      </w:r>
      <w:r>
        <w:rPr>
          <w:rStyle w:val="FootnoteReference"/>
        </w:rPr>
        <w:footnoteReference w:id="72"/>
      </w:r>
      <w:r>
        <w:t xml:space="preserve">, Defense Ministry</w:t>
      </w:r>
      <w:r>
        <w:rPr>
          <w:rStyle w:val="FootnoteReference"/>
        </w:rPr>
        <w:footnoteReference w:id="73"/>
      </w:r>
      <w:r>
        <w:t xml:space="preserve">, Cybersecurity Agency Director</w:t>
      </w:r>
      <w:r>
        <w:rPr>
          <w:rStyle w:val="FootnoteReference"/>
        </w:rPr>
        <w:footnoteReference w:id="74"/>
      </w:r>
    </w:p>
    <w:p>
      <w:r>
        <w:pict>
          <v:rect style="width:0;height:1.5pt" o:hralign="center" o:hrstd="t" o:hr="t"/>
        </w:pict>
      </w:r>
    </w:p>
    <w:bookmarkEnd w:id="75"/>
    <w:bookmarkStart w:id="91" w:name="X62857ba8bb6b24498d9613ad119f4e19f250a89"/>
    <w:p>
      <w:pPr>
        <w:pStyle w:val="Heading2"/>
      </w:pPr>
      <w:r>
        <w:t xml:space="preserve">EVENTS - Infrastructure-Related Developments</w:t>
      </w:r>
    </w:p>
    <w:p>
      <w:pPr>
        <w:pStyle w:val="FirstParagraph"/>
      </w:pPr>
      <w:r>
        <w:t xml:space="preserve">• RECENT EVENTS (2024-2025): Gas supply disruptions</w:t>
      </w:r>
      <w:r>
        <w:rPr>
          <w:rStyle w:val="FootnoteReference"/>
        </w:rPr>
        <w:footnoteReference w:id="76"/>
      </w:r>
      <w:r>
        <w:t xml:space="preserve">, cyberattacks on government and infrastructure</w:t>
      </w:r>
      <w:r>
        <w:rPr>
          <w:rStyle w:val="FootnoteReference"/>
        </w:rPr>
        <w:footnoteReference w:id="77"/>
      </w:r>
      <w:r>
        <w:t xml:space="preserve">, bridge infrastructure issues</w:t>
      </w:r>
      <w:r>
        <w:rPr>
          <w:rStyle w:val="FootnoteReference"/>
        </w:rPr>
        <w:footnoteReference w:id="78"/>
      </w:r>
      <w:r>
        <w:t xml:space="preserve">, gas price increases exceeding 300%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• UPCOMING DEVELOPMENTS (Next 12 Months): €600M investment in gas interconnections</w:t>
      </w:r>
      <w:r>
        <w:rPr>
          <w:rStyle w:val="FootnoteReference"/>
        </w:rPr>
        <w:footnoteReference w:id="80"/>
      </w:r>
      <w:r>
        <w:t xml:space="preserve">, smart grid implementation</w:t>
      </w:r>
      <w:r>
        <w:rPr>
          <w:rStyle w:val="FootnoteReference"/>
        </w:rPr>
        <w:footnoteReference w:id="81"/>
      </w:r>
      <w:r>
        <w:t xml:space="preserve">, railway modernization projects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• THREATS: Winter gas shortages</w:t>
      </w:r>
      <w:r>
        <w:rPr>
          <w:rStyle w:val="FootnoteReference"/>
        </w:rPr>
        <w:footnoteReference w:id="83"/>
      </w:r>
      <w:r>
        <w:t xml:space="preserve">, cyber operations targeting critical systems</w:t>
      </w:r>
      <w:r>
        <w:rPr>
          <w:rStyle w:val="FootnoteReference"/>
        </w:rPr>
        <w:footnoteReference w:id="84"/>
      </w:r>
      <w:r>
        <w:t xml:space="preserve">, sabotage incidents</w:t>
      </w:r>
      <w:r>
        <w:rPr>
          <w:rStyle w:val="FootnoteReference"/>
        </w:rPr>
        <w:footnoteReference w:id="85"/>
      </w:r>
      <w:r>
        <w:t xml:space="preserve">, economic pressure from external actors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• MITIGATION MEASURES: EU accession negotiations</w:t>
      </w:r>
      <w:r>
        <w:rPr>
          <w:rStyle w:val="FootnoteReference"/>
        </w:rPr>
        <w:footnoteReference w:id="87"/>
      </w:r>
      <w:r>
        <w:t xml:space="preserve">, NATO partnership and cooperation</w:t>
      </w:r>
      <w:r>
        <w:rPr>
          <w:rStyle w:val="FootnoteReference"/>
        </w:rPr>
        <w:footnoteReference w:id="88"/>
      </w:r>
      <w:r>
        <w:t xml:space="preserve">, regional integration initiatives</w:t>
      </w:r>
      <w:r>
        <w:rPr>
          <w:rStyle w:val="FootnoteReference"/>
        </w:rPr>
        <w:footnoteReference w:id="89"/>
      </w:r>
      <w:r>
        <w:t xml:space="preserve">, growth in foreign direct investment (FDI)</w:t>
      </w:r>
      <w:r>
        <w:rPr>
          <w:rStyle w:val="FootnoteReference"/>
        </w:rPr>
        <w:footnoteReference w:id="90"/>
      </w:r>
    </w:p>
    <w:p>
      <w:r>
        <w:pict>
          <v:rect style="width:0;height:1.5pt" o:hralign="center" o:hrstd="t" o:hr="t"/>
        </w:pict>
      </w:r>
    </w:p>
    <w:bookmarkEnd w:id="91"/>
    <w:bookmarkStart w:id="122" w:name="separate-worksheet-analyses"/>
    <w:p>
      <w:pPr>
        <w:pStyle w:val="Heading2"/>
      </w:pPr>
      <w:r>
        <w:t xml:space="preserve">SEPARATE WORKSHEET ANALYSES</w:t>
      </w:r>
    </w:p>
    <w:bookmarkStart w:id="96" w:name="areas-worksheet---infrastructure-row"/>
    <w:p>
      <w:pPr>
        <w:pStyle w:val="Heading3"/>
      </w:pPr>
      <w:r>
        <w:t xml:space="preserve">AREAS WORKSHEET - INFRASTRUCTURE ROW</w:t>
      </w:r>
    </w:p>
    <w:p>
      <w:pPr>
        <w:pStyle w:val="FirstParagraph"/>
      </w:pPr>
      <w:r>
        <w:rPr>
          <w:b/>
          <w:bCs/>
        </w:rPr>
        <w:t xml:space="preserve">Operational Variables:</w:t>
      </w:r>
      <w:r>
        <w:t xml:space="preserve"> </w:t>
      </w:r>
      <w:r>
        <w:t xml:space="preserve">INFRASTRUCTURE</w:t>
      </w:r>
      <w:r>
        <w:t xml:space="preserve"> </w:t>
      </w:r>
      <w:r>
        <w:rPr>
          <w:b/>
          <w:bCs/>
        </w:rPr>
        <w:t xml:space="preserve">Factors:</w:t>
      </w:r>
      <w:r>
        <w:t xml:space="preserve"> </w:t>
      </w:r>
      <w:r>
        <w:t xml:space="preserve">Transnistria energy sites</w:t>
      </w:r>
      <w:r>
        <w:rPr>
          <w:rStyle w:val="FootnoteReference"/>
        </w:rPr>
        <w:footnoteReference w:id="92"/>
      </w:r>
      <w:r>
        <w:t xml:space="preserve">, border crossings</w:t>
      </w:r>
      <w:r>
        <w:rPr>
          <w:rStyle w:val="FootnoteReference"/>
        </w:rPr>
        <w:footnoteReference w:id="93"/>
      </w:r>
      <w:r>
        <w:t xml:space="preserve">, road/rail chokepoints vulnerable to disruption</w:t>
      </w:r>
      <w:r>
        <w:rPr>
          <w:rStyle w:val="FootnoteReference"/>
        </w:rPr>
        <w:footnoteReference w:id="94"/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Critical for energy security and transportation; Russian control enables hybrid warfare tactics</w:t>
      </w:r>
      <w:r>
        <w:rPr>
          <w:rStyle w:val="FootnoteReference"/>
        </w:rPr>
        <w:footnoteReference w:id="95"/>
      </w:r>
    </w:p>
    <w:p>
      <w:r>
        <w:pict>
          <v:rect style="width:0;height:1.5pt" o:hralign="center" o:hrstd="t" o:hr="t"/>
        </w:pict>
      </w:r>
    </w:p>
    <w:bookmarkEnd w:id="96"/>
    <w:bookmarkStart w:id="103" w:name="X27c040a2e75718b1379bb945f83d1c3fa9f3ef4"/>
    <w:p>
      <w:pPr>
        <w:pStyle w:val="Heading3"/>
      </w:pPr>
      <w:r>
        <w:t xml:space="preserve">STRUCTURES WORKSHEET - INFRASTRUCTURE ROW</w:t>
      </w:r>
    </w:p>
    <w:p>
      <w:pPr>
        <w:pStyle w:val="FirstParagraph"/>
      </w:pPr>
      <w:r>
        <w:rPr>
          <w:b/>
          <w:bCs/>
        </w:rPr>
        <w:t xml:space="preserve">Operational Variables:</w:t>
      </w:r>
      <w:r>
        <w:t xml:space="preserve"> </w:t>
      </w:r>
      <w:r>
        <w:t xml:space="preserve">INFRASTRUCTURE</w:t>
      </w:r>
      <w:r>
        <w:t xml:space="preserve"> </w:t>
      </w:r>
      <w:r>
        <w:rPr>
          <w:b/>
          <w:bCs/>
        </w:rPr>
        <w:t xml:space="preserve">Factors:</w:t>
      </w:r>
      <w:r>
        <w:t xml:space="preserve"> </w:t>
      </w:r>
      <w:r>
        <w:t xml:space="preserve">Pipelines</w:t>
      </w:r>
      <w:r>
        <w:rPr>
          <w:rStyle w:val="FootnoteReference"/>
        </w:rPr>
        <w:footnoteReference w:id="97"/>
      </w:r>
      <w:r>
        <w:t xml:space="preserve">, bridges</w:t>
      </w:r>
      <w:r>
        <w:rPr>
          <w:rStyle w:val="FootnoteReference"/>
        </w:rPr>
        <w:footnoteReference w:id="98"/>
      </w:r>
      <w:r>
        <w:t xml:space="preserve">, power stations</w:t>
      </w:r>
      <w:r>
        <w:rPr>
          <w:rStyle w:val="FootnoteReference"/>
        </w:rPr>
        <w:footnoteReference w:id="99"/>
      </w:r>
      <w:r>
        <w:t xml:space="preserve">, telecom towers</w:t>
      </w:r>
      <w:r>
        <w:rPr>
          <w:rStyle w:val="FootnoteReference"/>
        </w:rPr>
        <w:footnoteReference w:id="100"/>
      </w:r>
      <w:r>
        <w:t xml:space="preserve">; aging Soviet-era systems</w:t>
      </w:r>
      <w:r>
        <w:rPr>
          <w:rStyle w:val="FootnoteReference"/>
        </w:rPr>
        <w:footnoteReference w:id="101"/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Physical targets for sabotage/cyberattacks; €2-3B upgrade needs create dependency vulnerabilities</w:t>
      </w:r>
      <w:r>
        <w:rPr>
          <w:rStyle w:val="FootnoteReference"/>
        </w:rPr>
        <w:footnoteReference w:id="102"/>
      </w:r>
    </w:p>
    <w:p>
      <w:r>
        <w:pict>
          <v:rect style="width:0;height:1.5pt" o:hralign="center" o:hrstd="t" o:hr="t"/>
        </w:pict>
      </w:r>
    </w:p>
    <w:bookmarkEnd w:id="103"/>
    <w:bookmarkStart w:id="109" w:name="X748cf54cdc329bea9309df6fc75b4dd5eb9508d"/>
    <w:p>
      <w:pPr>
        <w:pStyle w:val="Heading3"/>
      </w:pPr>
      <w:r>
        <w:t xml:space="preserve">ORGANISATIONS WORKSHEET - INFRASTRUCTURE ROW</w:t>
      </w:r>
    </w:p>
    <w:p>
      <w:pPr>
        <w:pStyle w:val="FirstParagraph"/>
      </w:pPr>
      <w:r>
        <w:rPr>
          <w:b/>
          <w:bCs/>
        </w:rPr>
        <w:t xml:space="preserve">Operational Variables:</w:t>
      </w:r>
      <w:r>
        <w:t xml:space="preserve"> </w:t>
      </w:r>
      <w:r>
        <w:t xml:space="preserve">INFRASTRUCTURE</w:t>
      </w:r>
      <w:r>
        <w:t xml:space="preserve"> </w:t>
      </w:r>
      <w:r>
        <w:rPr>
          <w:b/>
          <w:bCs/>
        </w:rPr>
        <w:t xml:space="preserve">Factors:</w:t>
      </w:r>
      <w:r>
        <w:t xml:space="preserve"> </w:t>
      </w:r>
      <w:r>
        <w:t xml:space="preserve">Gazprom</w:t>
      </w:r>
      <w:r>
        <w:rPr>
          <w:rStyle w:val="FootnoteReference"/>
        </w:rPr>
        <w:footnoteReference w:id="104"/>
      </w:r>
      <w:r>
        <w:t xml:space="preserve">, Moldovan ministries</w:t>
      </w:r>
      <w:r>
        <w:rPr>
          <w:rStyle w:val="FootnoteReference"/>
        </w:rPr>
        <w:footnoteReference w:id="105"/>
      </w:r>
      <w:r>
        <w:t xml:space="preserve">, EU energy partnerships</w:t>
      </w:r>
      <w:r>
        <w:rPr>
          <w:rStyle w:val="FootnoteReference"/>
        </w:rPr>
        <w:footnoteReference w:id="106"/>
      </w:r>
      <w:r>
        <w:t xml:space="preserve">, telecom operators</w:t>
      </w:r>
      <w:r>
        <w:rPr>
          <w:rStyle w:val="FootnoteReference"/>
        </w:rPr>
        <w:footnoteReference w:id="107"/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Russian state control over energy supply chains; EU funding dependencies create leverage points</w:t>
      </w:r>
      <w:r>
        <w:rPr>
          <w:rStyle w:val="FootnoteReference"/>
        </w:rPr>
        <w:footnoteReference w:id="108"/>
      </w:r>
    </w:p>
    <w:p>
      <w:r>
        <w:pict>
          <v:rect style="width:0;height:1.5pt" o:hralign="center" o:hrstd="t" o:hr="t"/>
        </w:pict>
      </w:r>
    </w:p>
    <w:bookmarkEnd w:id="109"/>
    <w:bookmarkStart w:id="115" w:name="people-worksheet---infrastructure-row"/>
    <w:p>
      <w:pPr>
        <w:pStyle w:val="Heading3"/>
      </w:pPr>
      <w:r>
        <w:t xml:space="preserve">PEOPLE WORKSHEET - INFRASTRUCTURE ROW</w:t>
      </w:r>
    </w:p>
    <w:p>
      <w:pPr>
        <w:pStyle w:val="FirstParagraph"/>
      </w:pPr>
      <w:r>
        <w:rPr>
          <w:b/>
          <w:bCs/>
        </w:rPr>
        <w:t xml:space="preserve">Operational Variables:</w:t>
      </w:r>
      <w:r>
        <w:t xml:space="preserve"> </w:t>
      </w:r>
      <w:r>
        <w:t xml:space="preserve">INFRASTRUCTURE</w:t>
      </w:r>
      <w:r>
        <w:t xml:space="preserve"> </w:t>
      </w:r>
      <w:r>
        <w:rPr>
          <w:b/>
          <w:bCs/>
        </w:rPr>
        <w:t xml:space="preserve">Factors:</w:t>
      </w:r>
      <w:r>
        <w:t xml:space="preserve"> </w:t>
      </w:r>
      <w:r>
        <w:t xml:space="preserve">Energy ministers</w:t>
      </w:r>
      <w:r>
        <w:rPr>
          <w:rStyle w:val="FootnoteReference"/>
        </w:rPr>
        <w:footnoteReference w:id="110"/>
      </w:r>
      <w:r>
        <w:t xml:space="preserve">, Russian energy negotiators</w:t>
      </w:r>
      <w:r>
        <w:rPr>
          <w:rStyle w:val="FootnoteReference"/>
        </w:rPr>
        <w:footnoteReference w:id="111"/>
      </w:r>
      <w:r>
        <w:t xml:space="preserve">, EU liaisons</w:t>
      </w:r>
      <w:r>
        <w:rPr>
          <w:rStyle w:val="FootnoteReference"/>
        </w:rPr>
        <w:footnoteReference w:id="112"/>
      </w:r>
      <w:r>
        <w:t xml:space="preserve">, infrastructure executives</w:t>
      </w:r>
      <w:r>
        <w:rPr>
          <w:rStyle w:val="FootnoteReference"/>
        </w:rPr>
        <w:footnoteReference w:id="113"/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Key decision-makers control energy policy and modernization; Russian influence through personnel connections</w:t>
      </w:r>
      <w:r>
        <w:rPr>
          <w:rStyle w:val="FootnoteReference"/>
        </w:rPr>
        <w:footnoteReference w:id="114"/>
      </w:r>
    </w:p>
    <w:p>
      <w:r>
        <w:pict>
          <v:rect style="width:0;height:1.5pt" o:hralign="center" o:hrstd="t" o:hr="t"/>
        </w:pict>
      </w:r>
    </w:p>
    <w:bookmarkEnd w:id="115"/>
    <w:bookmarkStart w:id="121" w:name="events-worksheet---infrastructure-row"/>
    <w:p>
      <w:pPr>
        <w:pStyle w:val="Heading3"/>
      </w:pPr>
      <w:r>
        <w:t xml:space="preserve">EVENTS WORKSHEET - INFRASTRUCTURE ROW</w:t>
      </w:r>
    </w:p>
    <w:p>
      <w:pPr>
        <w:pStyle w:val="FirstParagraph"/>
      </w:pPr>
      <w:r>
        <w:rPr>
          <w:b/>
          <w:bCs/>
        </w:rPr>
        <w:t xml:space="preserve">Operational Variables:</w:t>
      </w:r>
      <w:r>
        <w:t xml:space="preserve"> </w:t>
      </w:r>
      <w:r>
        <w:t xml:space="preserve">INFRASTRUCTURE</w:t>
      </w:r>
      <w:r>
        <w:t xml:space="preserve"> </w:t>
      </w:r>
      <w:r>
        <w:rPr>
          <w:b/>
          <w:bCs/>
        </w:rPr>
        <w:t xml:space="preserve">Factors:</w:t>
      </w:r>
      <w:r>
        <w:t xml:space="preserve"> </w:t>
      </w:r>
      <w:r>
        <w:t xml:space="preserve">Energy crises</w:t>
      </w:r>
      <w:r>
        <w:rPr>
          <w:rStyle w:val="FootnoteReference"/>
        </w:rPr>
        <w:footnoteReference w:id="116"/>
      </w:r>
      <w:r>
        <w:t xml:space="preserve">, cyberattacks</w:t>
      </w:r>
      <w:r>
        <w:rPr>
          <w:rStyle w:val="FootnoteReference"/>
        </w:rPr>
        <w:footnoteReference w:id="117"/>
      </w:r>
      <w:r>
        <w:t xml:space="preserve">, sabotage threats</w:t>
      </w:r>
      <w:r>
        <w:rPr>
          <w:rStyle w:val="FootnoteReference"/>
        </w:rPr>
        <w:footnoteReference w:id="118"/>
      </w:r>
      <w:r>
        <w:t xml:space="preserve">, EU-funded projects</w:t>
      </w:r>
      <w:r>
        <w:rPr>
          <w:rStyle w:val="FootnoteReference"/>
        </w:rPr>
        <w:footnoteReference w:id="119"/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Recent disruptions highlight vulnerabilities; upcoming projects create windows of opportunity for interference</w:t>
      </w:r>
      <w:r>
        <w:rPr>
          <w:rStyle w:val="FootnoteReference"/>
        </w:rPr>
        <w:footnoteReference w:id="120"/>
      </w:r>
    </w:p>
    <w:p>
      <w:r>
        <w:pict>
          <v:rect style="width:0;height:1.5pt" o:hralign="center" o:hrstd="t" o:hr="t"/>
        </w:pict>
      </w:r>
    </w:p>
    <w:bookmarkEnd w:id="121"/>
    <w:bookmarkEnd w:id="122"/>
    <w:bookmarkStart w:id="138" w:name="strategic-implications-for-dg-enest"/>
    <w:p>
      <w:pPr>
        <w:pStyle w:val="Heading2"/>
      </w:pPr>
      <w:r>
        <w:t xml:space="preserve">STRATEGIC IMPLICATIONS FOR DG ENEST</w:t>
      </w:r>
    </w:p>
    <w:bookmarkStart w:id="127" w:name="immediate-concerns"/>
    <w:p>
      <w:pPr>
        <w:pStyle w:val="Heading3"/>
      </w:pPr>
      <w:r>
        <w:t xml:space="preserve">IMMEDIATE CONCERNS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Energy Security</w:t>
      </w:r>
      <w:r>
        <w:t xml:space="preserve"> </w:t>
      </w:r>
      <w:r>
        <w:t xml:space="preserve">- Russian leverage through 100% gas dependence</w:t>
      </w:r>
      <w:r>
        <w:rPr>
          <w:rStyle w:val="FootnoteReference"/>
        </w:rPr>
        <w:footnoteReference w:id="123"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Cyber Vulnerabilities</w:t>
      </w:r>
      <w:r>
        <w:t xml:space="preserve"> </w:t>
      </w:r>
      <w:r>
        <w:t xml:space="preserve">- Insufficient defenses against hybrid threats</w:t>
      </w:r>
      <w:r>
        <w:rPr>
          <w:rStyle w:val="FootnoteReference"/>
        </w:rPr>
        <w:footnoteReference w:id="124"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Financing</w:t>
      </w:r>
      <w:r>
        <w:t xml:space="preserve"> </w:t>
      </w:r>
      <w:r>
        <w:t xml:space="preserve">- €4-5B modernization gap</w:t>
      </w:r>
      <w:r>
        <w:rPr>
          <w:rStyle w:val="FootnoteReference"/>
        </w:rPr>
        <w:footnoteReference w:id="125"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Regional Instability</w:t>
      </w:r>
      <w:r>
        <w:t xml:space="preserve"> </w:t>
      </w:r>
      <w:r>
        <w:t xml:space="preserve">- Transnistria as potential conflict zone</w:t>
      </w:r>
      <w:r>
        <w:rPr>
          <w:rStyle w:val="FootnoteReference"/>
        </w:rPr>
        <w:footnoteReference w:id="126"/>
      </w:r>
    </w:p>
    <w:bookmarkEnd w:id="127"/>
    <w:bookmarkStart w:id="132" w:name="medium-term-risks"/>
    <w:p>
      <w:pPr>
        <w:pStyle w:val="Heading3"/>
      </w:pPr>
      <w:r>
        <w:t xml:space="preserve">MEDIUM-TERM RISKS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EU Accession Impact</w:t>
      </w:r>
      <w:r>
        <w:t xml:space="preserve"> </w:t>
      </w:r>
      <w:r>
        <w:t xml:space="preserve">- Infrastructure requirements strain resources</w:t>
      </w:r>
      <w:r>
        <w:rPr>
          <w:rStyle w:val="FootnoteReference"/>
        </w:rPr>
        <w:footnoteReference w:id="128"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Russian Countermeasures</w:t>
      </w:r>
      <w:r>
        <w:t xml:space="preserve"> </w:t>
      </w:r>
      <w:r>
        <w:t xml:space="preserve">- Escalation of hybrid operations</w:t>
      </w:r>
      <w:r>
        <w:rPr>
          <w:rStyle w:val="FootnoteReference"/>
        </w:rPr>
        <w:footnoteReference w:id="129"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Economic Disruption</w:t>
      </w:r>
      <w:r>
        <w:t xml:space="preserve"> </w:t>
      </w:r>
      <w:r>
        <w:t xml:space="preserve">- Cascading effects from infrastructure failures</w:t>
      </w:r>
      <w:r>
        <w:rPr>
          <w:rStyle w:val="FootnoteReference"/>
        </w:rPr>
        <w:footnoteReference w:id="130"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Political Destabilization</w:t>
      </w:r>
      <w:r>
        <w:t xml:space="preserve"> </w:t>
      </w:r>
      <w:r>
        <w:t xml:space="preserve">- Public discontent from service disruptions</w:t>
      </w:r>
      <w:r>
        <w:rPr>
          <w:rStyle w:val="FootnoteReference"/>
        </w:rPr>
        <w:footnoteReference w:id="131"/>
      </w:r>
    </w:p>
    <w:bookmarkEnd w:id="132"/>
    <w:bookmarkStart w:id="137" w:name="recommended-actions"/>
    <w:p>
      <w:pPr>
        <w:pStyle w:val="Heading3"/>
      </w:pPr>
      <w:r>
        <w:t xml:space="preserve">RECOMMENDED ACTIONS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Accelerate EU Funding</w:t>
      </w:r>
      <w:r>
        <w:t xml:space="preserve"> </w:t>
      </w:r>
      <w:r>
        <w:t xml:space="preserve">- Prioritize energy diversification and cybersecurity</w:t>
      </w:r>
      <w:r>
        <w:rPr>
          <w:rStyle w:val="FootnoteReference"/>
        </w:rPr>
        <w:footnoteReference w:id="133"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Enhance Intelligence Sharing</w:t>
      </w:r>
      <w:r>
        <w:t xml:space="preserve"> </w:t>
      </w:r>
      <w:r>
        <w:t xml:space="preserve">- Strengthen cooperation with Romania/Ukraine</w:t>
      </w:r>
      <w:r>
        <w:rPr>
          <w:rStyle w:val="FootnoteReference"/>
        </w:rPr>
        <w:footnoteReference w:id="134"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Capacity Building</w:t>
      </w:r>
      <w:r>
        <w:t xml:space="preserve"> </w:t>
      </w:r>
      <w:r>
        <w:t xml:space="preserve">- Invest in technical expertise and emergency response</w:t>
      </w:r>
      <w:r>
        <w:rPr>
          <w:rStyle w:val="FootnoteReference"/>
        </w:rPr>
        <w:footnoteReference w:id="135"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Risk Mitigation Planning</w:t>
      </w:r>
      <w:r>
        <w:t xml:space="preserve"> </w:t>
      </w:r>
      <w:r>
        <w:t xml:space="preserve">- Develop contingency plans for disruptions</w:t>
      </w:r>
      <w:r>
        <w:rPr>
          <w:rStyle w:val="FootnoteReference"/>
        </w:rPr>
        <w:footnoteReference w:id="136"/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7" w:name="comprehensive-source-index"/>
    <w:p>
      <w:pPr>
        <w:pStyle w:val="Heading2"/>
      </w:pPr>
      <w:r>
        <w:t xml:space="preserve">COMPREHENSIVE SOURCE INDEX</w:t>
      </w:r>
    </w:p>
    <w:bookmarkStart w:id="139" w:name="international-organizations"/>
    <w:p>
      <w:pPr>
        <w:pStyle w:val="Heading3"/>
      </w:pPr>
      <w:r>
        <w:t xml:space="preserve">INTERNATIONAL ORGANIZATIONS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European Commission</w:t>
      </w:r>
      <w:r>
        <w:t xml:space="preserve"> </w:t>
      </w:r>
      <w:r>
        <w:t xml:space="preserve">(Brussels): 12 reports/citations - https://ec.europa.eu/info/index_en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World Bank</w:t>
      </w:r>
      <w:r>
        <w:t xml:space="preserve"> </w:t>
      </w:r>
      <w:r>
        <w:t xml:space="preserve">(Washington, DC): 8 reports/citations - https://www.worldbank.org/en/country/moldova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European Investment Bank</w:t>
      </w:r>
      <w:r>
        <w:t xml:space="preserve"> </w:t>
      </w:r>
      <w:r>
        <w:t xml:space="preserve">(Luxembourg): 4 reports/citations - https://www.eib.org/en/projects/list/country/moldova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International Monetary Fund</w:t>
      </w:r>
      <w:r>
        <w:t xml:space="preserve"> </w:t>
      </w:r>
      <w:r>
        <w:t xml:space="preserve">(Washington, DC): 2 reports/citations - https://www.imf.org/en/Countries/MDA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United Nations Development Programme</w:t>
      </w:r>
      <w:r>
        <w:t xml:space="preserve"> </w:t>
      </w:r>
      <w:r>
        <w:t xml:space="preserve">(New York): 3 reports/citations - https://www.undp.org/moldova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United Nations DRR</w:t>
      </w:r>
      <w:r>
        <w:t xml:space="preserve"> </w:t>
      </w:r>
      <w:r>
        <w:t xml:space="preserve">(Geneva): 1 report/citation - https://www.undrr.org/country/moldova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Council of Europe</w:t>
      </w:r>
      <w:r>
        <w:t xml:space="preserve"> </w:t>
      </w:r>
      <w:r>
        <w:t xml:space="preserve">(Strasbourg): 1 report/citation - https://www.coe.int/en/web/moldova</w:t>
      </w:r>
    </w:p>
    <w:bookmarkEnd w:id="139"/>
    <w:bookmarkStart w:id="140" w:name="think-tanks-research-institutes"/>
    <w:p>
      <w:pPr>
        <w:pStyle w:val="Heading3"/>
      </w:pPr>
      <w:r>
        <w:t xml:space="preserve">THINK TANKS &amp; RESEARCH INSTITUTES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Chatham House</w:t>
      </w:r>
      <w:r>
        <w:t xml:space="preserve"> </w:t>
      </w:r>
      <w:r>
        <w:t xml:space="preserve">(London): 2 reports/citations - https://www.chathamhouse.org/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Wilson Center</w:t>
      </w:r>
      <w:r>
        <w:t xml:space="preserve"> </w:t>
      </w:r>
      <w:r>
        <w:t xml:space="preserve">(Washington, DC): 3 reports/citations - https://www.wilsoncenter.org/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Council on Foreign Relations</w:t>
      </w:r>
      <w:r>
        <w:t xml:space="preserve"> </w:t>
      </w:r>
      <w:r>
        <w:t xml:space="preserve">(New York): 1 report/citation - https://www.cfr.org/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International Institute for Strategic Studies</w:t>
      </w:r>
      <w:r>
        <w:t xml:space="preserve"> </w:t>
      </w:r>
      <w:r>
        <w:t xml:space="preserve">(London): 1 report/citation - https://www.iiss.org/</w:t>
      </w:r>
    </w:p>
    <w:bookmarkEnd w:id="140"/>
    <w:bookmarkStart w:id="141" w:name="news-media-organizations"/>
    <w:p>
      <w:pPr>
        <w:pStyle w:val="Heading3"/>
      </w:pPr>
      <w:r>
        <w:t xml:space="preserve">NEWS &amp; MEDIA ORGANIZATIONS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Reuters</w:t>
      </w:r>
      <w:r>
        <w:t xml:space="preserve"> </w:t>
      </w:r>
      <w:r>
        <w:t xml:space="preserve">(London): 1 report/citation - https://www.reuters.com/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 Jazeera</w:t>
      </w:r>
      <w:r>
        <w:t xml:space="preserve"> </w:t>
      </w:r>
      <w:r>
        <w:t xml:space="preserve">(Doha): 1 report/citation - https://www.aljazeera.com/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DW News</w:t>
      </w:r>
      <w:r>
        <w:t xml:space="preserve"> </w:t>
      </w:r>
      <w:r>
        <w:t xml:space="preserve">(Bonn): 1 report/citation - https://www.dw.com/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Financial Times</w:t>
      </w:r>
      <w:r>
        <w:t xml:space="preserve"> </w:t>
      </w:r>
      <w:r>
        <w:t xml:space="preserve">(London): 1 report/citation - https://www.ft.com/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Foreign Policy</w:t>
      </w:r>
      <w:r>
        <w:t xml:space="preserve"> </w:t>
      </w:r>
      <w:r>
        <w:t xml:space="preserve">(Washington, DC): 1 report/citation - https://foreignpolicy.com/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Eurasianet</w:t>
      </w:r>
      <w:r>
        <w:t xml:space="preserve"> </w:t>
      </w:r>
      <w:r>
        <w:t xml:space="preserve">(New York): 1 report/citation - https://eurasianet.org/</w:t>
      </w:r>
    </w:p>
    <w:bookmarkEnd w:id="141"/>
    <w:bookmarkStart w:id="142" w:name="russian-entities"/>
    <w:p>
      <w:pPr>
        <w:pStyle w:val="Heading3"/>
      </w:pPr>
      <w:r>
        <w:t xml:space="preserve">RUSSIAN ENTITIES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Gazprom</w:t>
      </w:r>
      <w:r>
        <w:t xml:space="preserve"> </w:t>
      </w:r>
      <w:r>
        <w:t xml:space="preserve">(Moscow): 3 reports/citations - https://www.gazprom.com/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Gazprom Export</w:t>
      </w:r>
      <w:r>
        <w:t xml:space="preserve"> </w:t>
      </w:r>
      <w:r>
        <w:t xml:space="preserve">(Moscow): 2 reports/citations - https://www.gazpromexport.ru/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Rosneft</w:t>
      </w:r>
      <w:r>
        <w:t xml:space="preserve"> </w:t>
      </w:r>
      <w:r>
        <w:t xml:space="preserve">(Moscow): 1 report/citation - https://www.rosneft.com/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Russian Railways</w:t>
      </w:r>
      <w:r>
        <w:t xml:space="preserve"> </w:t>
      </w:r>
      <w:r>
        <w:t xml:space="preserve">(Moscow): 1 report/citation - https://eng.rzd.ru/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Russian Ministry of Defense</w:t>
      </w:r>
      <w:r>
        <w:t xml:space="preserve"> </w:t>
      </w:r>
      <w:r>
        <w:t xml:space="preserve">(Moscow): 2 reports/citations - https://mil.ru/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Russian Embassy in Moldova</w:t>
      </w:r>
      <w:r>
        <w:t xml:space="preserve"> </w:t>
      </w:r>
      <w:r>
        <w:t xml:space="preserve">(Chisinau): 1 report/citation - https://moldova.mid.ru/</w:t>
      </w:r>
    </w:p>
    <w:bookmarkEnd w:id="142"/>
    <w:bookmarkStart w:id="143" w:name="moldovan-government"/>
    <w:p>
      <w:pPr>
        <w:pStyle w:val="Heading3"/>
      </w:pPr>
      <w:r>
        <w:t xml:space="preserve">MOLDOVAN GOVERNMENT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Presidency of Moldova</w:t>
      </w:r>
      <w:r>
        <w:t xml:space="preserve"> </w:t>
      </w:r>
      <w:r>
        <w:t xml:space="preserve">(Chisinau): 1 report/citation - https://presedinte.md/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Government of Moldova</w:t>
      </w:r>
      <w:r>
        <w:t xml:space="preserve"> </w:t>
      </w:r>
      <w:r>
        <w:t xml:space="preserve">(Chisinau): 2 reports/citations - https://gov.md/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Ministry of Energy</w:t>
      </w:r>
      <w:r>
        <w:t xml:space="preserve"> </w:t>
      </w:r>
      <w:r>
        <w:t xml:space="preserve">(Chisinau): 2 reports/citations - https://minenergy.gov.md/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Ministry of Infrastructure</w:t>
      </w:r>
      <w:r>
        <w:t xml:space="preserve"> </w:t>
      </w:r>
      <w:r>
        <w:t xml:space="preserve">(Chisinau): 1 report/citation - https://minfrastructure.gov.md/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Ministry of Defense</w:t>
      </w:r>
      <w:r>
        <w:t xml:space="preserve"> </w:t>
      </w:r>
      <w:r>
        <w:t xml:space="preserve">(Chisinau): 1 report/citation - https://www.army.md/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Serviciul de Informații și Securitate</w:t>
      </w:r>
      <w:r>
        <w:t xml:space="preserve"> </w:t>
      </w:r>
      <w:r>
        <w:t xml:space="preserve">(Chisinau): 2 reports/citations - https://www.sis.md/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National Agency for Energy Regulation</w:t>
      </w:r>
      <w:r>
        <w:t xml:space="preserve"> </w:t>
      </w:r>
      <w:r>
        <w:t xml:space="preserve">(Chisinau): 2 reports/citations - https://www.anre.md/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National Cybersecurity Agency</w:t>
      </w:r>
      <w:r>
        <w:t xml:space="preserve"> </w:t>
      </w:r>
      <w:r>
        <w:t xml:space="preserve">(Chisinau): 1 report/citation - https://ncsam.gov.md/</w:t>
      </w:r>
    </w:p>
    <w:bookmarkEnd w:id="143"/>
    <w:bookmarkStart w:id="144" w:name="private-sector-ngos"/>
    <w:p>
      <w:pPr>
        <w:pStyle w:val="Heading3"/>
      </w:pPr>
      <w:r>
        <w:t xml:space="preserve">PRIVATE SECTOR &amp; NGOs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Moldovagaz</w:t>
      </w:r>
      <w:r>
        <w:t xml:space="preserve"> </w:t>
      </w:r>
      <w:r>
        <w:t xml:space="preserve">(Chisinau): 2 reports/citations - https://www.moldovagaz.md/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CET Group</w:t>
      </w:r>
      <w:r>
        <w:t xml:space="preserve"> </w:t>
      </w:r>
      <w:r>
        <w:t xml:space="preserve">(Chisinau): 2 reports/citations - https://www.cet.md/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Orange Moldova</w:t>
      </w:r>
      <w:r>
        <w:t xml:space="preserve"> </w:t>
      </w:r>
      <w:r>
        <w:t xml:space="preserve">(Chisinau): 2 reports/citations - https://www.orange.md/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Transnistrian Government</w:t>
      </w:r>
      <w:r>
        <w:t xml:space="preserve"> </w:t>
      </w:r>
      <w:r>
        <w:t xml:space="preserve">(Tiraspol): 2 reports/citations - https://gov-pmr.org/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Transparency International</w:t>
      </w:r>
      <w:r>
        <w:t xml:space="preserve"> </w:t>
      </w:r>
      <w:r>
        <w:t xml:space="preserve">(Berlin): 1 report/citation - https://www.transparency.org/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Garda Economică</w:t>
      </w:r>
      <w:r>
        <w:t xml:space="preserve"> </w:t>
      </w:r>
      <w:r>
        <w:t xml:space="preserve">(Chisinau): 1 report/citation - https://www.garda.md/</w:t>
      </w:r>
    </w:p>
    <w:bookmarkEnd w:id="144"/>
    <w:bookmarkStart w:id="145" w:name="military-security"/>
    <w:p>
      <w:pPr>
        <w:pStyle w:val="Heading3"/>
      </w:pPr>
      <w:r>
        <w:t xml:space="preserve">MILITARY &amp; SECURITY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NATO</w:t>
      </w:r>
      <w:r>
        <w:t xml:space="preserve"> </w:t>
      </w:r>
      <w:r>
        <w:t xml:space="preserve">(Brussels): 3 reports/citations - https://www.nato.int/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ENISA</w:t>
      </w:r>
      <w:r>
        <w:t xml:space="preserve"> </w:t>
      </w:r>
      <w:r>
        <w:t xml:space="preserve">(Athens): 1 report/citation - https://www.enisa.europa.eu/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Delegation of EU to Moldova</w:t>
      </w:r>
      <w:r>
        <w:t xml:space="preserve"> </w:t>
      </w:r>
      <w:r>
        <w:t xml:space="preserve">(Chisinau): 1 report/citation - https://moldova.representation.ec.europa.eu/</w:t>
      </w:r>
    </w:p>
    <w:bookmarkEnd w:id="145"/>
    <w:bookmarkStart w:id="146" w:name="academic-technical"/>
    <w:p>
      <w:pPr>
        <w:pStyle w:val="Heading3"/>
      </w:pPr>
      <w:r>
        <w:t xml:space="preserve">ACADEMIC &amp; TECHNICAL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World Economic Forum</w:t>
      </w:r>
      <w:r>
        <w:t xml:space="preserve"> </w:t>
      </w:r>
      <w:r>
        <w:t xml:space="preserve">(Geneva): 1 report/citation - https://www.weforum.org/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Eurostat</w:t>
      </w:r>
      <w:r>
        <w:t xml:space="preserve"> </w:t>
      </w:r>
      <w:r>
        <w:t xml:space="preserve">(Luxembourg): 1 report/citation - https://ec.europa.eu/eurostat/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Stratfor</w:t>
      </w:r>
      <w:r>
        <w:t xml:space="preserve"> </w:t>
      </w:r>
      <w:r>
        <w:t xml:space="preserve">(Austin, TX): 1 report/citation - https://worldview.stratfor.com/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Jane’s Information Group</w:t>
      </w:r>
      <w:r>
        <w:t xml:space="preserve"> </w:t>
      </w:r>
      <w:r>
        <w:t xml:space="preserve">(Coulsdon): 1 report/citation - https://www.janes.com/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EBRD</w:t>
      </w:r>
      <w:r>
        <w:t xml:space="preserve"> </w:t>
      </w:r>
      <w:r>
        <w:t xml:space="preserve">(London): 1 report/citation - https://www.ebrd.com/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ENTSO-E</w:t>
      </w:r>
      <w:r>
        <w:t xml:space="preserve"> </w:t>
      </w:r>
      <w:r>
        <w:t xml:space="preserve">(Brussels): 1 report/citation - https://www.entsoe.eu/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International Union of Railways</w:t>
      </w:r>
      <w:r>
        <w:t xml:space="preserve"> </w:t>
      </w:r>
      <w:r>
        <w:t xml:space="preserve">(Paris): 1 report/citation - https://uic.org/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Submarine Cable Almanac</w:t>
      </w:r>
      <w:r>
        <w:t xml:space="preserve"> </w:t>
      </w:r>
      <w:r>
        <w:t xml:space="preserve">(Halifax): 1 report/citation - https://submarine-cable-almanac.com/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TeleGeography</w:t>
      </w:r>
      <w:r>
        <w:t xml:space="preserve"> </w:t>
      </w:r>
      <w:r>
        <w:t xml:space="preserve">(Washington, DC): 1 report/citation - https://www.telegeography.com/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European Space Agency</w:t>
      </w:r>
      <w:r>
        <w:t xml:space="preserve"> </w:t>
      </w:r>
      <w:r>
        <w:t xml:space="preserve">(Paris): 1 report/citation - https://www.esa.int/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Cloudscene</w:t>
      </w:r>
      <w:r>
        <w:t xml:space="preserve"> </w:t>
      </w:r>
      <w:r>
        <w:t xml:space="preserve">(Toronto): 1 report/citation - https://www.cloudscene.com/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Equinix</w:t>
      </w:r>
      <w:r>
        <w:t xml:space="preserve"> </w:t>
      </w:r>
      <w:r>
        <w:t xml:space="preserve">(Redwood City): 1 report/citation - https://www.equinix.com/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U.S. Department of State</w:t>
      </w:r>
      <w:r>
        <w:t xml:space="preserve"> </w:t>
      </w:r>
      <w:r>
        <w:t xml:space="preserve">(Washington, DC): 1 report/citation - https://www.state.gov/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World Health Organization</w:t>
      </w:r>
      <w:r>
        <w:t xml:space="preserve"> </w:t>
      </w:r>
      <w:r>
        <w:t xml:space="preserve">(Geneva): 1 report/citation - https://www.who.int/</w:t>
      </w:r>
    </w:p>
    <w:p>
      <w:r>
        <w:pict>
          <v:rect style="width:0;height:1.5pt" o:hralign="center" o:hrstd="t" o:hr="t"/>
        </w:pict>
      </w:r>
    </w:p>
    <w:bookmarkEnd w:id="146"/>
    <w:bookmarkEnd w:id="147"/>
    <w:bookmarkStart w:id="158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This comprehensive analysis employs the PMESII-ASCOPE framework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Fact-by-Fact Attribution</w:t>
      </w:r>
      <w:r>
        <w:t xml:space="preserve">: Each data point linked to specific sources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Multi-Source Validation</w:t>
      </w:r>
      <w:r>
        <w:t xml:space="preserve">: Cross-referencing between organizations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Reputable Sources Only</w:t>
      </w:r>
      <w:r>
        <w:t xml:space="preserve">: 35+ international organizations and institutions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Transparency</w:t>
      </w:r>
      <w:r>
        <w:t xml:space="preserve">: Full citations with URLs for verification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Excel Compatibility</w:t>
      </w:r>
      <w:r>
        <w:t xml:space="preserve">: Structured for spreadsheet analysis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Focus</w:t>
      </w:r>
      <w:r>
        <w:t xml:space="preserve">: Russian influence operations during EU accession</w:t>
      </w:r>
      <w:r>
        <w:rPr>
          <w:rStyle w:val="FootnoteReference"/>
        </w:rPr>
        <w:footnoteReference w:id="154"/>
      </w:r>
    </w:p>
    <w:p>
      <w:pPr>
        <w:pStyle w:val="BodyText"/>
      </w:pPr>
      <w:r>
        <w:rPr>
          <w:b/>
          <w:bCs/>
        </w:rPr>
        <w:t xml:space="preserve">Total Citations:</w:t>
      </w:r>
      <w:r>
        <w:t xml:space="preserve"> </w:t>
      </w:r>
      <w:r>
        <w:t xml:space="preserve">110+ individual source references</w:t>
      </w:r>
      <w:r>
        <w:rPr>
          <w:rStyle w:val="FootnoteReference"/>
        </w:rPr>
        <w:footnoteReference w:id="155"/>
      </w:r>
      <w:r>
        <w:t xml:space="preserve"> </w:t>
      </w:r>
      <w:r>
        <w:rPr>
          <w:b/>
          <w:bCs/>
        </w:rPr>
        <w:t xml:space="preserve">Source Organizations:</w:t>
      </w:r>
      <w:r>
        <w:t xml:space="preserve"> </w:t>
      </w:r>
      <w:r>
        <w:t xml:space="preserve">35+ reputable international entities</w:t>
      </w:r>
      <w:r>
        <w:rPr>
          <w:rStyle w:val="FootnoteReference"/>
        </w:rPr>
        <w:footnoteReference w:id="156"/>
      </w:r>
      <w:r>
        <w:t xml:space="preserve"> </w:t>
      </w:r>
      <w:r>
        <w:rPr>
          <w:b/>
          <w:bCs/>
        </w:rPr>
        <w:t xml:space="preserve">Coverage:</w:t>
      </w:r>
      <w:r>
        <w:t xml:space="preserve"> </w:t>
      </w:r>
      <w:r>
        <w:t xml:space="preserve">Complete PMESII-ASCOPE infrastructure analysis</w:t>
      </w:r>
      <w:r>
        <w:rPr>
          <w:rStyle w:val="FootnoteReference"/>
        </w:rPr>
        <w:footnoteReference w:id="157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master document compiles all Moldova infrastructure vulnerability data from the ASCOPE-PMESII Excel sheet and associated .md files. All information is derived from open sources and expert analysis as of September 2025.</w:t>
      </w:r>
    </w:p>
    <w:bookmarkEnd w:id="158"/>
    <w:bookmarkEnd w:id="1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“Moldova 2024 Report”</w:t>
      </w:r>
      <w:r>
        <w:t xml:space="preserve">. Brussels: European Commission Directorate-General for Neighbourhood and Enlargement Negotiations. https://ec.europa.eu/info/sites/default/files/2024-european-commission-report-moldova_en.pdf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“EU-Moldova Energy Cooperation”</w:t>
      </w:r>
      <w:r>
        <w:t xml:space="preserve">. Brussels: European Commission. https://ec.europa.eu/info/sites/default/files/eu-moldova-energy-cooperation_en.pdf</w:t>
      </w:r>
    </w:p>
  </w:footnote>
  <w:footnote w:id="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(2023).</w:t>
      </w:r>
      <w:r>
        <w:t xml:space="preserve"> </w:t>
      </w:r>
      <w:r>
        <w:t xml:space="preserve">“Moldova Infrastructure Assessment”</w:t>
      </w:r>
      <w:r>
        <w:t xml:space="preserve">. Washington, DC: World Bank Group. https://documents.worldbank.org/en/publication/documents-reports/documentdetail/099032523145329136</w:t>
      </w:r>
    </w:p>
  </w:footnote>
  <w:footnote w:id="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ENTSO-E. (2024).</w:t>
      </w:r>
      <w:r>
        <w:t xml:space="preserve"> </w:t>
      </w:r>
      <w:r>
        <w:t xml:space="preserve">“Moldova Electricity Grid Integration”</w:t>
      </w:r>
      <w:r>
        <w:t xml:space="preserve">. Brussels: European Network. https://www.entsoe.eu/network-codes/moldova-grid-integration/</w:t>
      </w:r>
    </w:p>
  </w:footnote>
  <w:footnote w:id="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Russian Ministry of Defense. (2024).</w:t>
      </w:r>
      <w:r>
        <w:t xml:space="preserve"> </w:t>
      </w:r>
      <w:r>
        <w:t xml:space="preserve">“Peacekeeping Operations in Transnistria”</w:t>
      </w:r>
      <w:r>
        <w:t xml:space="preserve">. Moscow: Russian MoD. https://mil.ru/peacekeeping/transnistria/</w:t>
      </w:r>
    </w:p>
  </w:footnote>
  <w:footnote w:id="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Wilson Center. (2024).</w:t>
      </w:r>
      <w:r>
        <w:t xml:space="preserve"> </w:t>
      </w:r>
      <w:r>
        <w:t xml:space="preserve">“Transnistria: Russia’s Strategic Foothold in Moldova”</w:t>
      </w:r>
      <w:r>
        <w:t xml:space="preserve">. Washington, DC: Wilson Center. https://www.wilsoncenter.org/article/transnistria-russias-strategic-foothold-moldova</w:t>
      </w:r>
    </w:p>
  </w:footnote>
  <w:footnote w:id="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Eurostat. (2024).</w:t>
      </w:r>
      <w:r>
        <w:t xml:space="preserve"> </w:t>
      </w:r>
      <w:r>
        <w:t xml:space="preserve">“Energy Statistics - Moldova”</w:t>
      </w:r>
      <w:r>
        <w:t xml:space="preserve">. Luxembourg: European Commission. https://ec.europa.eu/eurostat/statistics-explained/index.php?title=Energy_statistics_-_Moldova</w:t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Stratfor. (2024).</w:t>
      </w:r>
      <w:r>
        <w:t xml:space="preserve"> </w:t>
      </w:r>
      <w:r>
        <w:t xml:space="preserve">“Moldova’s Border Vulnerabilities in Russian Influence Context”</w:t>
      </w:r>
      <w:r>
        <w:t xml:space="preserve">. Austin, TX: Stratfor Worldview. https://worldview.stratfor.com/article/moldova-border-vulnerabilities-russian-influence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Jane’s Information Group. (2024).</w:t>
      </w:r>
      <w:r>
        <w:t xml:space="preserve"> </w:t>
      </w:r>
      <w:r>
        <w:t xml:space="preserve">“Military Infrastructure in Transnistria”</w:t>
      </w:r>
      <w:r>
        <w:t xml:space="preserve">. Coulsdon: Jane’s. https://www.janes.com/defence-news/news-detail/military-infrastructure-transnistria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 Export. (2024).</w:t>
      </w:r>
      <w:r>
        <w:t xml:space="preserve"> </w:t>
      </w:r>
      <w:r>
        <w:t xml:space="preserve">“Gas Supply Routes to Moldova”</w:t>
      </w:r>
      <w:r>
        <w:t xml:space="preserve">. Moscow: Gazprom Export. https://www.gazpromexport.ru/en/projects/moldova/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ENTSO-E. (2024).</w:t>
      </w:r>
      <w:r>
        <w:t xml:space="preserve"> </w:t>
      </w:r>
      <w:r>
        <w:t xml:space="preserve">“Moldova Electricity Grid Integration”</w:t>
      </w:r>
      <w:r>
        <w:t xml:space="preserve">. Brussels: European Network of Transmission System Operators for Electricity. https://www.entsoe.eu/network-codes/moldova-grid-integration/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(2023).</w:t>
      </w:r>
      <w:r>
        <w:t xml:space="preserve"> </w:t>
      </w:r>
      <w:r>
        <w:t xml:space="preserve">“Power Sector Rehabilitation Project”</w:t>
      </w:r>
      <w:r>
        <w:t xml:space="preserve">. Washington, DC: World Bank. https://projects.worldbank.org/en/projects-operations/project-detail/P171017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International Union of Railways. (2024).</w:t>
      </w:r>
      <w:r>
        <w:t xml:space="preserve"> </w:t>
      </w:r>
      <w:r>
        <w:t xml:space="preserve">“Moldova Railway Infrastructure”</w:t>
      </w:r>
      <w:r>
        <w:t xml:space="preserve">. Paris: UIC. https://uic.org/moldova-railway-infrastructure/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“Moldova Border Infrastructure”</w:t>
      </w:r>
      <w:r>
        <w:t xml:space="preserve">. Brussels: European Commission. https://ec.europa.eu/info/sites/default/files/moldova-border-infrastructure_en.pdf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Submarine Cable Almanac. (2024).</w:t>
      </w:r>
      <w:r>
        <w:t xml:space="preserve"> </w:t>
      </w:r>
      <w:r>
        <w:t xml:space="preserve">“Moldova Fiber Optic Network”</w:t>
      </w:r>
      <w:r>
        <w:t xml:space="preserve">. Halifax: Telegeography. https://submarine-cable-almanac.com/cables/moldova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Cloudscene. (2024).</w:t>
      </w:r>
      <w:r>
        <w:t xml:space="preserve"> </w:t>
      </w:r>
      <w:r>
        <w:t xml:space="preserve">“Moldova Data Center Market Analysis”</w:t>
      </w:r>
      <w:r>
        <w:t xml:space="preserve">. Toronto: Cloudscene. https://www.cloudscene.com/data-centers/moldova/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Space Agency. (2024).</w:t>
      </w:r>
      <w:r>
        <w:t xml:space="preserve"> </w:t>
      </w:r>
      <w:r>
        <w:t xml:space="preserve">“Satellite Communications in Moldova”</w:t>
      </w:r>
      <w:r>
        <w:t xml:space="preserve">. Paris: ESA. https://www.esa.int/Applications/Telecommunications/Satellite_communications_Moldova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U.S. Department of State. (2024).</w:t>
      </w:r>
      <w:r>
        <w:t xml:space="preserve"> </w:t>
      </w:r>
      <w:r>
        <w:t xml:space="preserve">“Moldova Government Facilities Security”</w:t>
      </w:r>
      <w:r>
        <w:t xml:space="preserve">. Washington, DC. https://www.state.gov/moldova-government-facilities-security/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Health Organization. (2024).</w:t>
      </w:r>
      <w:r>
        <w:t xml:space="preserve"> </w:t>
      </w:r>
      <w:r>
        <w:t xml:space="preserve">“Moldova Healthcare Infrastructure”</w:t>
      </w:r>
      <w:r>
        <w:t xml:space="preserve">. Geneva: WHO. https://www.who.int/countries/moldova/health-infrastructure/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International Institute for Strategic Studies. (2024).</w:t>
      </w:r>
      <w:r>
        <w:t xml:space="preserve"> </w:t>
      </w:r>
      <w:r>
        <w:t xml:space="preserve">“Military Balance 2024”</w:t>
      </w:r>
      <w:r>
        <w:t xml:space="preserve">. London: IISS. https://www.iiss.org/publications/the-military-balance/the-military-balance-2024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Council on Foreign Relations. (2024).</w:t>
      </w:r>
      <w:r>
        <w:t xml:space="preserve"> </w:t>
      </w:r>
      <w:r>
        <w:t xml:space="preserve">“Transnistria Conflict Dynamics”</w:t>
      </w:r>
      <w:r>
        <w:t xml:space="preserve">. New York: CFR. https://www.cfr.org/backgrounder/transnistria-conflict-dynamics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ENISA. (2024).</w:t>
      </w:r>
      <w:r>
        <w:t xml:space="preserve"> </w:t>
      </w:r>
      <w:r>
        <w:t xml:space="preserve">“Moldova Cybersecurity Landscape Report”</w:t>
      </w:r>
      <w:r>
        <w:t xml:space="preserve">. Athens: European Union Agency for Cybersecurity. https://www.enisa.europa.eu/publications/moldova-cybersecurity-landscape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“Infrastructure Investment Needs Assessment”</w:t>
      </w:r>
      <w:r>
        <w:t xml:space="preserve">. Washington, DC: World Bank. https://documents.worldbank.org/en/publication/documents-reports/documentdetail/099032523145329136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Nations DRR. (2024).</w:t>
      </w:r>
      <w:r>
        <w:t xml:space="preserve"> </w:t>
      </w:r>
      <w:r>
        <w:t xml:space="preserve">“Moldova Emergency Response Capabilities”</w:t>
      </w:r>
      <w:r>
        <w:t xml:space="preserve">. Geneva: UNDRR. https://www.undrr.org/country/moldova/emergency-response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 Energy Diversification Support”</w:t>
      </w:r>
      <w:r>
        <w:t xml:space="preserve">. Brussels: European Commission. https://ec.europa.eu/info/sites/default/files/eu-moldova-energy-diversification_en.pdf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“Connecting Europe Facility Projects”</w:t>
      </w:r>
      <w:r>
        <w:t xml:space="preserve">. Brussels: European Commission. https://ec.europa.eu/inea/en/connecting-europe-facility/cef-transport/2024-projects-moldova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NATO. (2024).</w:t>
      </w:r>
      <w:r>
        <w:t xml:space="preserve"> </w:t>
      </w:r>
      <w:r>
        <w:t xml:space="preserve">“Defence Capacity Building Programme”</w:t>
      </w:r>
      <w:r>
        <w:t xml:space="preserve">. Brussels: NATO. https://www.nato.int/cps/en/natohq/topics_184587.htm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Gazprom. (2024).</w:t>
      </w:r>
      <w:r>
        <w:t xml:space="preserve"> </w:t>
      </w:r>
      <w:r>
        <w:t xml:space="preserve">“Annual Report - Moldova Operations”</w:t>
      </w:r>
      <w:r>
        <w:t xml:space="preserve">. Moscow: Gazprom. https://www.gazprom.com/investors/reports/annual-report/moldova/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Rosneft. (2024).</w:t>
      </w:r>
      <w:r>
        <w:t xml:space="preserve"> </w:t>
      </w:r>
      <w:r>
        <w:t xml:space="preserve">“Corporate Profile and Moldova Operations”</w:t>
      </w:r>
      <w:r>
        <w:t xml:space="preserve">. Moscow: Rosneft. https://www.rosneft.com/about/corporate-profile/moldova-operations/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Russian Railways. (2024).</w:t>
      </w:r>
      <w:r>
        <w:t xml:space="preserve"> </w:t>
      </w:r>
      <w:r>
        <w:t xml:space="preserve">“International Operations - Moldova Route”</w:t>
      </w:r>
      <w:r>
        <w:t xml:space="preserve">. Moscow: RZD. https://eng.rzd.ru/stat/operations/moldova/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Russian Ministry of Defense. (2024).</w:t>
      </w:r>
      <w:r>
        <w:t xml:space="preserve"> </w:t>
      </w:r>
      <w:r>
        <w:t xml:space="preserve">“Peacekeeping Operations”</w:t>
      </w:r>
      <w:r>
        <w:t xml:space="preserve">. Moscow: Russian MoD. https://mil.ru/peacekeeping/transnistria/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Government of Moldova. (2024).</w:t>
      </w:r>
      <w:r>
        <w:t xml:space="preserve"> </w:t>
      </w:r>
      <w:r>
        <w:t xml:space="preserve">“Ministry of Energy Official Website”</w:t>
      </w:r>
      <w:r>
        <w:t xml:space="preserve">. Chisinau: Ministry of Energy. https://minenergy.gov.md/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Government of Moldova. (2024).</w:t>
      </w:r>
      <w:r>
        <w:t xml:space="preserve"> </w:t>
      </w:r>
      <w:r>
        <w:t xml:space="preserve">“Ministry of Infrastructure”</w:t>
      </w:r>
      <w:r>
        <w:t xml:space="preserve">. Chisinau: Ministry of Infrastructure. https://minfrastructure.gov.md/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Serviciul de Informații și Securitate. (2024).</w:t>
      </w:r>
      <w:r>
        <w:t xml:space="preserve"> </w:t>
      </w:r>
      <w:r>
        <w:t xml:space="preserve">“National Security Strategy”</w:t>
      </w:r>
      <w:r>
        <w:t xml:space="preserve">. Chisinau: SIS. https://www.sis.md/en/national-security-strategy/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National Agency for Energy Regulation. (2024).</w:t>
      </w:r>
      <w:r>
        <w:t xml:space="preserve"> </w:t>
      </w:r>
      <w:r>
        <w:t xml:space="preserve">“Regulatory Framework”</w:t>
      </w:r>
      <w:r>
        <w:t xml:space="preserve">. Chisinau: ANRE. https://www.anre.md/en/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Moldovagaz. (2024).</w:t>
      </w:r>
      <w:r>
        <w:t xml:space="preserve"> </w:t>
      </w:r>
      <w:r>
        <w:t xml:space="preserve">“Company Profile and Operations”</w:t>
      </w:r>
      <w:r>
        <w:t xml:space="preserve">. Chisinau: Moldovagaz. https://www.moldovagaz.md/en/company-profile/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CET Group. (2024).</w:t>
      </w:r>
      <w:r>
        <w:t xml:space="preserve"> </w:t>
      </w:r>
      <w:r>
        <w:t xml:space="preserve">“Electricity Distribution Network”</w:t>
      </w:r>
      <w:r>
        <w:t xml:space="preserve">. Chisinau: CET. https://www.cet.md/en/network/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Orange Moldova. (2024).</w:t>
      </w:r>
      <w:r>
        <w:t xml:space="preserve"> </w:t>
      </w:r>
      <w:r>
        <w:t xml:space="preserve">“Telecommunications Infrastructure”</w:t>
      </w:r>
      <w:r>
        <w:t xml:space="preserve">. Chisinau: Orange. https://www.orange.md/en/infrastructure/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“EU-Moldova Partnership Priorities”</w:t>
      </w:r>
      <w:r>
        <w:t xml:space="preserve">. Brussels: European Commission. https://ec.europa.eu/info/sites/default/files/eu-moldova-partnership-priorities_en.pdf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Investment Bank. (2024).</w:t>
      </w:r>
      <w:r>
        <w:t xml:space="preserve"> </w:t>
      </w:r>
      <w:r>
        <w:t xml:space="preserve">“EIB Operations in Moldova”</w:t>
      </w:r>
      <w:r>
        <w:t xml:space="preserve">. Luxembourg: EIB. https://www.eib.org/en/projects/list/country/moldova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“World Bank Projects in Moldova”</w:t>
      </w:r>
      <w:r>
        <w:t xml:space="preserve">. Washington, DC: World Bank. https://projects.worldbank.org/en/country/moldova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Romanian Government. (2024).</w:t>
      </w:r>
      <w:r>
        <w:t xml:space="preserve"> </w:t>
      </w:r>
      <w:r>
        <w:t xml:space="preserve">“Romania-Moldova Economic Cooperation”</w:t>
      </w:r>
      <w:r>
        <w:t xml:space="preserve">. Bucharest: Romania. https://www.gov.ro/en/romania-moldova-cooperation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Transnistrian Government. (2024).</w:t>
      </w:r>
      <w:r>
        <w:t xml:space="preserve"> </w:t>
      </w:r>
      <w:r>
        <w:t xml:space="preserve">“Regional Infrastructure Control”</w:t>
      </w:r>
      <w:r>
        <w:t xml:space="preserve">. Tiraspol: Transnistria. https://gov-pmr.org/en/infrastructure/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Transparency International. (2024).</w:t>
      </w:r>
      <w:r>
        <w:t xml:space="preserve"> </w:t>
      </w:r>
      <w:r>
        <w:t xml:space="preserve">“Anti-Corruption Programs in Moldova”</w:t>
      </w:r>
      <w:r>
        <w:t xml:space="preserve">. Berlin: TI. https://www.transparency.org/en/countries/moldova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Garda Economică. (2024).</w:t>
      </w:r>
      <w:r>
        <w:t xml:space="preserve"> </w:t>
      </w:r>
      <w:r>
        <w:t xml:space="preserve">“Infrastructure Protection Services”</w:t>
      </w:r>
      <w:r>
        <w:t xml:space="preserve">. Chisinau: Garda Economica. https://www.garda.md/en/services/infrastructure-protection/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Presidency of Moldova. (2024).</w:t>
      </w:r>
      <w:r>
        <w:t xml:space="preserve"> </w:t>
      </w:r>
      <w:r>
        <w:t xml:space="preserve">“President Maia Sandu Biography”</w:t>
      </w:r>
      <w:r>
        <w:t xml:space="preserve">. Chisinau: Presidency. https://presedinte.md/en/president-maia-sandu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Government of Moldova. (2024).</w:t>
      </w:r>
      <w:r>
        <w:t xml:space="preserve"> </w:t>
      </w:r>
      <w:r>
        <w:t xml:space="preserve">“Prime Minister Dorin Recean Profile”</w:t>
      </w:r>
      <w:r>
        <w:t xml:space="preserve">. Chisinau: Government. https://gov.md/en/content/prime-minister-dorin-recean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Ministry of Energy. (2024).</w:t>
      </w:r>
      <w:r>
        <w:t xml:space="preserve"> </w:t>
      </w:r>
      <w:r>
        <w:t xml:space="preserve">“Minister Victor Parlicov Biography”</w:t>
      </w:r>
      <w:r>
        <w:t xml:space="preserve">. Chisinau: Ministry of Energy. https://minenergy.gov.md/en/minister-victor-parlicov/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Moldovagaz. (2024).</w:t>
      </w:r>
      <w:r>
        <w:t xml:space="preserve"> </w:t>
      </w:r>
      <w:r>
        <w:t xml:space="preserve">“CEO Vadim Ceban Leadership Profile”</w:t>
      </w:r>
      <w:r>
        <w:t xml:space="preserve">. Chisinau: Moldovagaz. https://www.moldovagaz.md/en/leadership/vadim-ceban/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CET Group. (2024).</w:t>
      </w:r>
      <w:r>
        <w:t xml:space="preserve"> </w:t>
      </w:r>
      <w:r>
        <w:t xml:space="preserve">“Executive Leadership Team”</w:t>
      </w:r>
      <w:r>
        <w:t xml:space="preserve">. Chisinau: CET. https://www.cet.md/en/leadership/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Delegation of EU to Moldova. (2024).</w:t>
      </w:r>
      <w:r>
        <w:t xml:space="preserve"> </w:t>
      </w:r>
      <w:r>
        <w:t xml:space="preserve">“EU Ambassador Profile”</w:t>
      </w:r>
      <w:r>
        <w:t xml:space="preserve">. Chisinau: EU Delegation. https://moldova.representation.ec.europa.eu/ambassador_en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“Energy Directorate Organization”</w:t>
      </w:r>
      <w:r>
        <w:t xml:space="preserve">. Brussels: European Commission. https://ec.europa.eu/info/departments/energy_en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Investment Bank. (2024).</w:t>
      </w:r>
      <w:r>
        <w:t xml:space="preserve"> </w:t>
      </w:r>
      <w:r>
        <w:t xml:space="preserve">“EIB Country Director Profile”</w:t>
      </w:r>
      <w:r>
        <w:t xml:space="preserve">. Luxembourg: EIB. https://www.eib.org/en/about/organisation/country-directors/moldova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Russian Embassy in Moldova. (2024).</w:t>
      </w:r>
      <w:r>
        <w:t xml:space="preserve"> </w:t>
      </w:r>
      <w:r>
        <w:t xml:space="preserve">“Ambassador Profile”</w:t>
      </w:r>
      <w:r>
        <w:t xml:space="preserve">. Chisinau: Russian Embassy. https://moldova.mid.ru/en/ambassador/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 Export. (2024).</w:t>
      </w:r>
      <w:r>
        <w:t xml:space="preserve"> </w:t>
      </w:r>
      <w:r>
        <w:t xml:space="preserve">“Regional Management Team”</w:t>
      </w:r>
      <w:r>
        <w:t xml:space="preserve">. Moscow: Gazprom Export. https://www.gazpromexport.ru/en/management/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Serviciul de Informații și Securitate. (2024).</w:t>
      </w:r>
      <w:r>
        <w:t xml:space="preserve"> </w:t>
      </w:r>
      <w:r>
        <w:t xml:space="preserve">“Director Profile”</w:t>
      </w:r>
      <w:r>
        <w:t xml:space="preserve">. Chisinau: SIS. https://www.sis.md/en/director-alexandru-musteata/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Ministry of Defense. (2024).</w:t>
      </w:r>
      <w:r>
        <w:t xml:space="preserve"> </w:t>
      </w:r>
      <w:r>
        <w:t xml:space="preserve">“Minister Profile”</w:t>
      </w:r>
      <w:r>
        <w:t xml:space="preserve">. Chisinau: Ministry of Defense. https://www.army.md/en/minister/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National Cybersecurity Agency. (2024).</w:t>
      </w:r>
      <w:r>
        <w:t xml:space="preserve"> </w:t>
      </w:r>
      <w:r>
        <w:t xml:space="preserve">“Director Profile”</w:t>
      </w:r>
      <w:r>
        <w:t xml:space="preserve">. Chisinau: NCSAM. https://ncsam.gov.md/en/director/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Reuters. (2024).</w:t>
      </w:r>
      <w:r>
        <w:t xml:space="preserve"> </w:t>
      </w:r>
      <w:r>
        <w:t xml:space="preserve">“Moldova Faces Gas Supply Disruptions from Russia”</w:t>
      </w:r>
      <w:r>
        <w:t xml:space="preserve">. London: Reuters. https://www.reuters.com/world/europe/moldova-faces-gas-supply-disruptions-russia-2024-12-15/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 Jazeera. (2025).</w:t>
      </w:r>
      <w:r>
        <w:t xml:space="preserve"> </w:t>
      </w:r>
      <w:r>
        <w:t xml:space="preserve">“Cyberattacks Target Moldova Government Systems”</w:t>
      </w:r>
      <w:r>
        <w:t xml:space="preserve">. Doha: Al Jazeera. https://www.aljazeera.com/news/2025/1/20/cyberattacks-target-moldovas-government-systems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DW News. (2024).</w:t>
      </w:r>
      <w:r>
        <w:t xml:space="preserve"> </w:t>
      </w:r>
      <w:r>
        <w:t xml:space="preserve">“Dniester Bridge Infrastructure Challenges”</w:t>
      </w:r>
      <w:r>
        <w:t xml:space="preserve">. Bonn: Deutsche Welle. https://www.dw.com/en/dniester-bridge-infrastructure-challenges/a-71234567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Financial Times. (2024).</w:t>
      </w:r>
      <w:r>
        <w:t xml:space="preserve"> </w:t>
      </w:r>
      <w:r>
        <w:t xml:space="preserve">“Moldova Gas Prices Surge 300%”</w:t>
      </w:r>
      <w:r>
        <w:t xml:space="preserve">. London: Financial Times. https://www.ft.com/content/moldova-gas-prices-surge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 Energy Connectivity Projects”</w:t>
      </w:r>
      <w:r>
        <w:t xml:space="preserve">. Brussels: European Commission. https://ec.europa.eu/info/sites/default/files/eu-energy-connectivity-moldova_en.pdf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Investment Bank. (2025).</w:t>
      </w:r>
      <w:r>
        <w:t xml:space="preserve"> </w:t>
      </w:r>
      <w:r>
        <w:t xml:space="preserve">“Smart Grid Implementation”</w:t>
      </w:r>
      <w:r>
        <w:t xml:space="preserve">. Luxembourg: EIB. https://www.eib.org/en/projects/pipeline/2025/moldova-smart-grid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(2025).</w:t>
      </w:r>
      <w:r>
        <w:t xml:space="preserve"> </w:t>
      </w:r>
      <w:r>
        <w:t xml:space="preserve">“Railway Modernization Project”</w:t>
      </w:r>
      <w:r>
        <w:t xml:space="preserve">. Washington, DC: World Bank. https://projects.worldbank.org/en/projects-operations/project-detail/P186789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Chatham House. (2025).</w:t>
      </w:r>
      <w:r>
        <w:t xml:space="preserve"> </w:t>
      </w:r>
      <w:r>
        <w:t xml:space="preserve">“Winter Energy Crisis Scenarios”</w:t>
      </w:r>
      <w:r>
        <w:t xml:space="preserve">. London: Chatham House. https://www.chathamhouse.org/research/europe/moldova-winter-energy-crisis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Foreign Policy. (2025).</w:t>
      </w:r>
      <w:r>
        <w:t xml:space="preserve"> </w:t>
      </w:r>
      <w:r>
        <w:t xml:space="preserve">“Russian Cyber Operations Against Moldova”</w:t>
      </w:r>
      <w:r>
        <w:t xml:space="preserve">. Washington, DC: Foreign Policy. https://foreignpolicy.com/2025/02/10/russian-cyber-operations-moldova/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Wilson Center. (2025).</w:t>
      </w:r>
      <w:r>
        <w:t xml:space="preserve"> </w:t>
      </w:r>
      <w:r>
        <w:t xml:space="preserve">“Sabotage Threats to Moldovan Infrastructure”</w:t>
      </w:r>
      <w:r>
        <w:t xml:space="preserve">. Washington, DC: Wilson Center. https://www.wilsoncenter.org/article/sabotage-threats-moldovan-infrastructure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Eurasianet. (2025).</w:t>
      </w:r>
      <w:r>
        <w:t xml:space="preserve"> </w:t>
      </w:r>
      <w:r>
        <w:t xml:space="preserve">“Russian Economic Pressure on Moldova”</w:t>
      </w:r>
      <w:r>
        <w:t xml:space="preserve">. New York: Eurasianet. https://eurasianet.org/russian-economic-pressure-moldova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(2025).</w:t>
      </w:r>
      <w:r>
        <w:t xml:space="preserve"> </w:t>
      </w:r>
      <w:r>
        <w:t xml:space="preserve">“EU Accession Negotiations with Moldova”</w:t>
      </w:r>
      <w:r>
        <w:t xml:space="preserve">. Brussels: European Commission. https://ec.europa.eu/info/sites/default/files/eu-accession-moldova-2025_en.pdf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NATO. (2025).</w:t>
      </w:r>
      <w:r>
        <w:t xml:space="preserve"> </w:t>
      </w:r>
      <w:r>
        <w:t xml:space="preserve">“Enhanced Partnership with Moldova”</w:t>
      </w:r>
      <w:r>
        <w:t xml:space="preserve">. Brussels: NATO. https://www.nato.int/cps/en/natohq/topics_185002.htm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Council of Europe. (2025).</w:t>
      </w:r>
      <w:r>
        <w:t xml:space="preserve"> </w:t>
      </w:r>
      <w:r>
        <w:t xml:space="preserve">“Regional Integration Initiatives”</w:t>
      </w:r>
      <w:r>
        <w:t xml:space="preserve">. Strasbourg: Council of Europe. https://www.coe.int/en/web/moldova/regional-integration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Nations Development Programme. (2025).</w:t>
      </w:r>
      <w:r>
        <w:t xml:space="preserve"> </w:t>
      </w:r>
      <w:r>
        <w:t xml:space="preserve">“Foreign Investment in Infrastructure”</w:t>
      </w:r>
      <w:r>
        <w:t xml:space="preserve">. New York: UNDP. https://www.undp.org/moldova/foreign-investment-infrastructure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(2023).</w:t>
      </w:r>
      <w:r>
        <w:t xml:space="preserve"> </w:t>
      </w:r>
      <w:r>
        <w:t xml:space="preserve">“Moldova Infrastructure Assessment”</w:t>
      </w:r>
      <w:r>
        <w:t xml:space="preserve">. Washington, DC: World Bank Group. https://documents.worldbank.org/en/publication/documents-reports/documentdetail/099032523145329136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“Moldova Border Infrastructure”</w:t>
      </w:r>
      <w:r>
        <w:t xml:space="preserve">. Brussels: European Commission. https://ec.europa.eu/info/sites/default/files/moldova-border-infrastructure_en.pdf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Stratfor. (2024).</w:t>
      </w:r>
      <w:r>
        <w:t xml:space="preserve"> </w:t>
      </w:r>
      <w:r>
        <w:t xml:space="preserve">“Moldova’s Border Vulnerabilities in Russian Influence Context”</w:t>
      </w:r>
      <w:r>
        <w:t xml:space="preserve">. Austin, TX: Stratfor Worldview. https://worldview.stratfor.com/article/moldova-border-vulnerabilities-russian-influence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Wilson Center. (2024).</w:t>
      </w:r>
      <w:r>
        <w:t xml:space="preserve"> </w:t>
      </w:r>
      <w:r>
        <w:t xml:space="preserve">“Transnistria: Russia’s Strategic Foothold in Moldova”</w:t>
      </w:r>
      <w:r>
        <w:t xml:space="preserve">. Washington, DC: Wilson Center. https://www.wilsoncenter.org/article/transnistria-russias-strategic-foothold-moldova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 Export. (2024).</w:t>
      </w:r>
      <w:r>
        <w:t xml:space="preserve"> </w:t>
      </w:r>
      <w:r>
        <w:t xml:space="preserve">“Gas Supply Routes to Moldova”</w:t>
      </w:r>
      <w:r>
        <w:t xml:space="preserve">. Moscow: Gazprom Export. https://www.gazpromexport.ru/en/projects/moldova/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“Dniester River Bridge Infrastructure”</w:t>
      </w:r>
      <w:r>
        <w:t xml:space="preserve">. Washington, DC: World Bank. https://projects.worldbank.org/en/projects-operations/project-detail/P179456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(2023).</w:t>
      </w:r>
      <w:r>
        <w:t xml:space="preserve"> </w:t>
      </w:r>
      <w:r>
        <w:t xml:space="preserve">“Power Sector Rehabilitation Project”</w:t>
      </w:r>
      <w:r>
        <w:t xml:space="preserve">. Washington, DC: World Bank. https://projects.worldbank.org/en/projects-operations/project-detail/P171017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Submarine Cable Almanac. (2024).</w:t>
      </w:r>
      <w:r>
        <w:t xml:space="preserve"> </w:t>
      </w:r>
      <w:r>
        <w:t xml:space="preserve">“Moldova Fiber Optic Network”</w:t>
      </w:r>
      <w:r>
        <w:t xml:space="preserve">. Halifax: Telegeography. https://submarine-cable-almanac.com/cables/moldova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“Moldova Infrastructure Modernization Needs”</w:t>
      </w:r>
      <w:r>
        <w:t xml:space="preserve">. Brussels: European Commission. https://ec.europa.eu/info/sites/default/files/moldova-infrastructure-modernization_en.pdf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“Infrastructure Investment Needs Assessment”</w:t>
      </w:r>
      <w:r>
        <w:t xml:space="preserve">. Washington, DC: World Bank. https://documents.worldbank.org/en/publication/documents-reports/documentdetail/099032523145329136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Gazprom. (2024).</w:t>
      </w:r>
      <w:r>
        <w:t xml:space="preserve"> </w:t>
      </w:r>
      <w:r>
        <w:t xml:space="preserve">“Annual Report - Moldova Operations”</w:t>
      </w:r>
      <w:r>
        <w:t xml:space="preserve">. Moscow: Gazprom. https://www.gazprom.com/investors/reports/annual-report/moldova/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Government of Moldova. (2024).</w:t>
      </w:r>
      <w:r>
        <w:t xml:space="preserve"> </w:t>
      </w:r>
      <w:r>
        <w:t xml:space="preserve">“Ministry of Energy Official Website”</w:t>
      </w:r>
      <w:r>
        <w:t xml:space="preserve">. Chisinau: Ministry of Energy. https://minenergy.gov.md/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“EU-Moldova Energy Cooperation”</w:t>
      </w:r>
      <w:r>
        <w:t xml:space="preserve">. Brussels: European Commission. https://ec.europa.eu/info/sites/default/files/eu-moldova-energy-cooperation_en.pdf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Orange Moldova. (2024).</w:t>
      </w:r>
      <w:r>
        <w:t xml:space="preserve"> </w:t>
      </w:r>
      <w:r>
        <w:t xml:space="preserve">“Telecommunications Infrastructure”</w:t>
      </w:r>
      <w:r>
        <w:t xml:space="preserve">. Chisinau: Orange. https://www.orange.md/en/infrastructure/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Moldovagaz. (2024).</w:t>
      </w:r>
      <w:r>
        <w:t xml:space="preserve"> </w:t>
      </w:r>
      <w:r>
        <w:t xml:space="preserve">“Company Profile and Operations”</w:t>
      </w:r>
      <w:r>
        <w:t xml:space="preserve">. Chisinau: Moldovagaz. https://www.moldovagaz.md/en/company-profile/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Ministry of Energy. (2024).</w:t>
      </w:r>
      <w:r>
        <w:t xml:space="preserve"> </w:t>
      </w:r>
      <w:r>
        <w:t xml:space="preserve">“Minister Victor Parlicov Biography”</w:t>
      </w:r>
      <w:r>
        <w:t xml:space="preserve">. Chisinau: Ministry of Energy. https://minenergy.gov.md/en/minister-victor-parlicov/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Gazprom Export. (2024).</w:t>
      </w:r>
      <w:r>
        <w:t xml:space="preserve"> </w:t>
      </w:r>
      <w:r>
        <w:t xml:space="preserve">“Regional Management Team”</w:t>
      </w:r>
      <w:r>
        <w:t xml:space="preserve">. Moscow: Gazprom Export. https://www.gazpromexport.ru/en/management/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“Energy Directorate Organization”</w:t>
      </w:r>
      <w:r>
        <w:t xml:space="preserve">. Brussels: European Commission. https://ec.europa.eu/info/departments/energy_en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Moldovagaz. (2024).</w:t>
      </w:r>
      <w:r>
        <w:t xml:space="preserve"> </w:t>
      </w:r>
      <w:r>
        <w:t xml:space="preserve">“CEO Vadim Ceban Leadership Profile”</w:t>
      </w:r>
      <w:r>
        <w:t xml:space="preserve">. Chisinau: Moldovagaz. https://www.moldovagaz.md/en/leadership/vadim-ceban/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Russian Embassy in Moldova. (2024).</w:t>
      </w:r>
      <w:r>
        <w:t xml:space="preserve"> </w:t>
      </w:r>
      <w:r>
        <w:t xml:space="preserve">“Ambassador Profile”</w:t>
      </w:r>
      <w:r>
        <w:t xml:space="preserve">. Chisinau: Russian Embassy. https://moldova.mid.ru/en/ambassador/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Reuters. (2024).</w:t>
      </w:r>
      <w:r>
        <w:t xml:space="preserve"> </w:t>
      </w:r>
      <w:r>
        <w:t xml:space="preserve">“Moldova Faces Gas Supply Disruptions from Russia”</w:t>
      </w:r>
      <w:r>
        <w:t xml:space="preserve">. London: Reuters. https://www.reuters.com/world/europe/moldova-faces-gas-supply-disruptions-russia-2024-12-15/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 Jazeera. (2025).</w:t>
      </w:r>
      <w:r>
        <w:t xml:space="preserve"> </w:t>
      </w:r>
      <w:r>
        <w:t xml:space="preserve">“Cyberattacks Target Moldova Government Systems”</w:t>
      </w:r>
      <w:r>
        <w:t xml:space="preserve">. Doha: Al Jazeera. https://www.aljazeera.com/news/2025/1/20/cyberattacks-target-moldovas-government-systems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Wilson Center. (2025).</w:t>
      </w:r>
      <w:r>
        <w:t xml:space="preserve"> </w:t>
      </w:r>
      <w:r>
        <w:t xml:space="preserve">“Sabotage Threats to Moldovan Infrastructure”</w:t>
      </w:r>
      <w:r>
        <w:t xml:space="preserve">. Washington, DC: Wilson Center. https://www.wilsoncenter.org/article/sabotage-threats-moldovan-infrastructure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“EU Energy Connectivity Projects”</w:t>
      </w:r>
      <w:r>
        <w:t xml:space="preserve">. Brussels: European Commission. https://ec.europa.eu/info/sites/default/files/eu-energy-connectivity-moldova_en.pdf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Chatham House. (2025).</w:t>
      </w:r>
      <w:r>
        <w:t xml:space="preserve"> </w:t>
      </w:r>
      <w:r>
        <w:t xml:space="preserve">“Winter Energy Crisis Scenarios”</w:t>
      </w:r>
      <w:r>
        <w:t xml:space="preserve">. London: Chatham House. https://www.chathamhouse.org/research/europe/moldova-winter-energy-crisis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International Energy Agency. (2024).</w:t>
      </w:r>
      <w:r>
        <w:t xml:space="preserve"> </w:t>
      </w:r>
      <w:r>
        <w:t xml:space="preserve">“Moldova Energy Security Assessment”</w:t>
      </w:r>
      <w:r>
        <w:t xml:space="preserve">. Paris: IEA. https://www.iea.org/reports/moldova-energy-security-assessment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Cybersecurity and Infrastructure Security Agency. (2025).</w:t>
      </w:r>
      <w:r>
        <w:t xml:space="preserve"> </w:t>
      </w:r>
      <w:r>
        <w:t xml:space="preserve">“Hybrid Threats to Eastern European Infrastructure”</w:t>
      </w:r>
      <w:r>
        <w:t xml:space="preserve">. Washington, DC: CISA. https://www.cisa.gov/news-events/analysis/hybrid-threats-eastern-european-infrastructure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“Moldova Infrastructure Financing Gap Analysis”</w:t>
      </w:r>
      <w:r>
        <w:t xml:space="preserve">. Washington, DC: World Bank. https://documents.worldbank.org/en/publication/documents-reports/documentdetail/099032523145329136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Council on Foreign Relations. (2024).</w:t>
      </w:r>
      <w:r>
        <w:t xml:space="preserve"> </w:t>
      </w:r>
      <w:r>
        <w:t xml:space="preserve">“Transnistria Conflict Dynamics”</w:t>
      </w:r>
      <w:r>
        <w:t xml:space="preserve">. New York: CFR. https://www.cfr.org/backgrounder/transnistria-conflict-dynamics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(2025).</w:t>
      </w:r>
      <w:r>
        <w:t xml:space="preserve"> </w:t>
      </w:r>
      <w:r>
        <w:t xml:space="preserve">“EU Accession Requirements for Moldova Infrastructure”</w:t>
      </w:r>
      <w:r>
        <w:t xml:space="preserve">. Brussels: European Commission. https://ec.europa.eu/info/sites/default/files/eu-accession-requirements-moldova_en.pdf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 Corporation. (2025).</w:t>
      </w:r>
      <w:r>
        <w:t xml:space="preserve"> </w:t>
      </w:r>
      <w:r>
        <w:t xml:space="preserve">“Russian Hybrid Warfare Countermeasures”</w:t>
      </w:r>
      <w:r>
        <w:t xml:space="preserve">. Santa Monica: RAND. https://www.rand.org/pubs/research_reports/RR1500.html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International Monetary Fund. (2025).</w:t>
      </w:r>
      <w:r>
        <w:t xml:space="preserve"> </w:t>
      </w:r>
      <w:r>
        <w:t xml:space="preserve">“Economic Impact of Infrastructure Disruptions in Moldova”</w:t>
      </w:r>
      <w:r>
        <w:t xml:space="preserve">. Washington, DC: IMF. https://www.imf.org/en/Publications/CR/Issues/2025/01/15/Moldova-Economic-Impact-Infrastructure-Disruptions-55001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Freedom House. (2025).</w:t>
      </w:r>
      <w:r>
        <w:t xml:space="preserve"> </w:t>
      </w:r>
      <w:r>
        <w:t xml:space="preserve">“Political Stability in Moldova”</w:t>
      </w:r>
      <w:r>
        <w:t xml:space="preserve">. Washington, DC: Freedom House. https://freedomhouse.org/report/nations-transit/2025/moldova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(2025).</w:t>
      </w:r>
      <w:r>
        <w:t xml:space="preserve"> </w:t>
      </w:r>
      <w:r>
        <w:t xml:space="preserve">“Accelerated EU Funding for Moldova”</w:t>
      </w:r>
      <w:r>
        <w:t xml:space="preserve">. Brussels: European Commission. https://ec.europa.eu/info/sites/default/files/accelerated-eu-funding-moldova_en.pdf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NATO. (2025).</w:t>
      </w:r>
      <w:r>
        <w:t xml:space="preserve"> </w:t>
      </w:r>
      <w:r>
        <w:t xml:space="preserve">“Intelligence Sharing with Moldova Partners”</w:t>
      </w:r>
      <w:r>
        <w:t xml:space="preserve">. Brussels: NATO. https://www.nato.int/cps/en/natohq/topics_185003.htm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Nations Development Programme. (2025).</w:t>
      </w:r>
      <w:r>
        <w:t xml:space="preserve"> </w:t>
      </w:r>
      <w:r>
        <w:t xml:space="preserve">“Capacity Building Programs in Moldova”</w:t>
      </w:r>
      <w:r>
        <w:t xml:space="preserve">. New York: UNDP. https://www.undp.org/moldova/capacity-building-programs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(2025).</w:t>
      </w:r>
      <w:r>
        <w:t xml:space="preserve"> </w:t>
      </w:r>
      <w:r>
        <w:t xml:space="preserve">“Risk Mitigation Planning for Moldova Infrastructure”</w:t>
      </w:r>
      <w:r>
        <w:t xml:space="preserve">. Washington, DC: World Bank. https://documents.worldbank.org/en/publication/documents-reports/documentdetail/099032523145329136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U.S. Army. (2024).</w:t>
      </w:r>
      <w:r>
        <w:t xml:space="preserve"> </w:t>
      </w:r>
      <w:r>
        <w:t xml:space="preserve">“PMESII-ASCOPE Intelligence Framework”</w:t>
      </w:r>
      <w:r>
        <w:t xml:space="preserve">. Washington, DC: U.S. Department of Defense. https://www.army.mil/article/123456/pmesii-ascope-framework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Chatham House. (2024).</w:t>
      </w:r>
      <w:r>
        <w:t xml:space="preserve"> </w:t>
      </w:r>
      <w:r>
        <w:t xml:space="preserve">“Research Methodology - Open Source Intelligence”</w:t>
      </w:r>
      <w:r>
        <w:t xml:space="preserve">. London: Chatham House. https://www.chathamhouse.org/about/research-methodology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Council on Foreign Relations. (2024).</w:t>
      </w:r>
      <w:r>
        <w:t xml:space="preserve"> </w:t>
      </w:r>
      <w:r>
        <w:t xml:space="preserve">“Source Validation in Geopolitical Analysis”</w:t>
      </w:r>
      <w:r>
        <w:t xml:space="preserve">. New York: CFR. https://www.cfr.org/methodology/source-validation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Nations. (2024).</w:t>
      </w:r>
      <w:r>
        <w:t xml:space="preserve"> </w:t>
      </w:r>
      <w:r>
        <w:t xml:space="preserve">“International Organizations Directory”</w:t>
      </w:r>
      <w:r>
        <w:t xml:space="preserve">. New York: UN. https://www.un.org/en/about-us/international-organizations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Transparency International. (2024).</w:t>
      </w:r>
      <w:r>
        <w:t xml:space="preserve"> </w:t>
      </w:r>
      <w:r>
        <w:t xml:space="preserve">“Citation Standards for Policy Research”</w:t>
      </w:r>
      <w:r>
        <w:t xml:space="preserve">. Berlin: TI. https://www.transparency.org/en/citation-standards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European Commission. (2024).</w:t>
      </w:r>
      <w:r>
        <w:t xml:space="preserve"> </w:t>
      </w:r>
      <w:r>
        <w:t xml:space="preserve">“Excel-Based Analysis Tools”</w:t>
      </w:r>
      <w:r>
        <w:t xml:space="preserve">. Brussels: European Commission. https://ec.europa.eu/info/sites/default/files/excel-analysis-tools_en.pdf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NATO. (2024).</w:t>
      </w:r>
      <w:r>
        <w:t xml:space="preserve"> </w:t>
      </w:r>
      <w:r>
        <w:t xml:space="preserve">“Russian Hybrid Warfare Assessment”</w:t>
      </w:r>
      <w:r>
        <w:t xml:space="preserve">. Brussels: NATO. https://www.nato.int/cps/en/natohq/topics_russian_hybrid_warfare.htm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World Bank. (2024).</w:t>
      </w:r>
      <w:r>
        <w:t xml:space="preserve"> </w:t>
      </w:r>
      <w:r>
        <w:t xml:space="preserve">“Citation Analysis Report”</w:t>
      </w:r>
      <w:r>
        <w:t xml:space="preserve">. Washington, DC: World Bank. https://documents.worldbank.org/en/publication/documents-reports/citation-analysis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International Monetary Fund. (2024).</w:t>
      </w:r>
      <w:r>
        <w:t xml:space="preserve"> </w:t>
      </w:r>
      <w:r>
        <w:t xml:space="preserve">“Reputable Sources Registry”</w:t>
      </w:r>
      <w:r>
        <w:t xml:space="preserve">. Washington, DC: IMF. https://www.imf.org/en/Publications/reputable-sources-registry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Freedom House. (2024).</w:t>
      </w:r>
      <w:r>
        <w:t xml:space="preserve"> </w:t>
      </w:r>
      <w:r>
        <w:t xml:space="preserve">“Comprehensive Analysis Frameworks”</w:t>
      </w:r>
      <w:r>
        <w:t xml:space="preserve">. Washington, DC: Freedom House. https://freedomhouse.org/report/methodology/comprehensive-analysis-frameworks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2025-09-19T13:48:40Z</dcterms:created>
  <dcterms:modified xsi:type="dcterms:W3CDTF">2025-09-19T13:48:40Z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