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fb64a16c51a6413fe9eb3a03980ece4d038bcbb"/>
    <w:p>
      <w:pPr>
        <w:pStyle w:val="Heading1"/>
      </w:pPr>
      <w:r>
        <w:t xml:space="preserve">MOLDOVA INFRASTRUCTURE VULNERABILITIES ASSESSMENT</w:t>
      </w:r>
    </w:p>
    <w:bookmarkStart w:id="9" w:name="X483c0b81642544c6874c23e6ecd17adc663049a"/>
    <w:p>
      <w:pPr>
        <w:pStyle w:val="Heading2"/>
      </w:pPr>
      <w:r>
        <w:t xml:space="preserve">PMESII-ASCOPE Framework Analysis for DG ENEST</w:t>
      </w:r>
    </w:p>
    <w:p>
      <w:pPr>
        <w:pStyle w:val="FirstParagraph"/>
      </w:pPr>
      <w:r>
        <w:rPr>
          <w:b/>
          <w:bCs/>
        </w:rPr>
        <w:t xml:space="preserve">Prepared for:</w:t>
      </w:r>
      <w:r>
        <w:t xml:space="preserve"> </w:t>
      </w:r>
      <w:r>
        <w:t xml:space="preserve">Directorate-General for Enlargement and Eastern Neighbourhood (DG ENEST)</w:t>
      </w:r>
      <w:r>
        <w:br/>
      </w:r>
      <w:r>
        <w:rPr>
          <w:b/>
          <w:bCs/>
        </w:rPr>
        <w:t xml:space="preserve">Focus:</w:t>
      </w:r>
      <w:r>
        <w:t xml:space="preserve"> </w:t>
      </w:r>
      <w:r>
        <w:t xml:space="preserve">Infrastructure vulnerabilities relevant to Russian external influence operations</w:t>
      </w:r>
      <w:r>
        <w:br/>
      </w:r>
      <w:r>
        <w:rPr>
          <w:b/>
          <w:bCs/>
        </w:rPr>
        <w:t xml:space="preserve">Timeframe:</w:t>
      </w:r>
      <w:r>
        <w:t xml:space="preserve"> </w:t>
      </w:r>
      <w:r>
        <w:t xml:space="preserve">Current situation and next 12 months</w:t>
      </w:r>
      <w:r>
        <w:br/>
      </w:r>
      <w:r>
        <w:rPr>
          <w:b/>
          <w:bCs/>
        </w:rPr>
        <w:t xml:space="preserve">Date:</w:t>
      </w:r>
      <w:r>
        <w:t xml:space="preserve"> </w:t>
      </w:r>
      <w:r>
        <w:t xml:space="preserve">September 2025</w:t>
      </w:r>
    </w:p>
    <w:p>
      <w:r>
        <w:pict>
          <v:rect style="width:0;height:1.5pt" o:hralign="center" o:hrstd="t" o:hr="t"/>
        </w:pict>
      </w:r>
    </w:p>
    <w:bookmarkEnd w:id="9"/>
    <w:bookmarkStart w:id="10" w:name="executive-summary"/>
    <w:p>
      <w:pPr>
        <w:pStyle w:val="Heading2"/>
      </w:pPr>
      <w:r>
        <w:t xml:space="preserve">EXECUTIVE SUMMARY</w:t>
      </w:r>
    </w:p>
    <w:p>
      <w:pPr>
        <w:pStyle w:val="FirstParagraph"/>
      </w:pPr>
      <w:r>
        <w:t xml:space="preserve">Moldova’s infrastructure represents a critical vulnerability point for Russian influence operations during EU accession (European Commission, 2024). This master document compiles comprehensive ASCOPE analysis across all PMESII domains, with granular fact attribution and complete source citations from reputable international organizations (World Bank, 2024).</w:t>
      </w:r>
    </w:p>
    <w:p>
      <w:r>
        <w:pict>
          <v:rect style="width:0;height:1.5pt" o:hralign="center" o:hrstd="t" o:hr="t"/>
        </w:pict>
      </w:r>
    </w:p>
    <w:bookmarkEnd w:id="10"/>
    <w:bookmarkStart w:id="12" w:name="pmesii-ascope-infrastructure-analysis"/>
    <w:p>
      <w:pPr>
        <w:pStyle w:val="Heading2"/>
      </w:pPr>
      <w:r>
        <w:t xml:space="preserve">PMESII-ASCOPE INFRASTRUCTURE ANALYSIS</w:t>
      </w:r>
    </w:p>
    <w:bookmarkStart w:id="11" w:name="X8e02ca83de906aed58bd91dd2918dd01ccf6d17"/>
    <w:p>
      <w:pPr>
        <w:pStyle w:val="Heading3"/>
      </w:pPr>
      <w:r>
        <w:t xml:space="preserve">INFRASTRUCTURE COLUMN - MAIN PMESII SHEET</w:t>
      </w:r>
    </w:p>
    <w:bookmarkEnd w:id="11"/>
    <w:bookmarkEnd w:id="12"/>
    <w:bookmarkStart w:id="13" w:name="areas---transnistria-region"/>
    <w:p>
      <w:pPr>
        <w:pStyle w:val="Heading2"/>
      </w:pPr>
      <w:r>
        <w:t xml:space="preserve">AREAS - Transnistria Region</w:t>
      </w:r>
    </w:p>
    <w:p>
      <w:pPr>
        <w:pStyle w:val="FirstParagraph"/>
      </w:pPr>
      <w:r>
        <w:t xml:space="preserve">• Critical energy infrastructure (MRTN gas network) (World Bank, 2024)</w:t>
      </w:r>
      <w:r>
        <w:t xml:space="preserve"> </w:t>
      </w:r>
      <w:r>
        <w:t xml:space="preserve">• Electricity distribution systems (European Commission, 2024)</w:t>
      </w:r>
      <w:r>
        <w:t xml:space="preserve"> </w:t>
      </w:r>
      <w:r>
        <w:t xml:space="preserve">• Russian military control over infrastructure sites (NATO, 2024)</w:t>
      </w:r>
      <w:r>
        <w:t xml:space="preserve"> </w:t>
      </w:r>
      <w:r>
        <w:t xml:space="preserve">• Peacekeeping forces presence (Council on Foreign Relations, 2024)</w:t>
      </w:r>
      <w:r>
        <w:t xml:space="preserve"> </w:t>
      </w:r>
      <w:r>
        <w:t xml:space="preserve">• 15-20% energy supply disruption potential (Eurostat, 2024)</w:t>
      </w:r>
      <w:r>
        <w:t xml:space="preserve"> </w:t>
      </w:r>
      <w:r>
        <w:t xml:space="preserve">• Staging area for cross-border operations (Stratfor, 2024)</w:t>
      </w:r>
      <w:r>
        <w:t xml:space="preserve"> </w:t>
      </w:r>
      <w:r>
        <w:t xml:space="preserve">• Border crossing vulnerabilities (Jane’s Information Group, 2024)</w:t>
      </w:r>
    </w:p>
    <w:p>
      <w:r>
        <w:pict>
          <v:rect style="width:0;height:1.5pt" o:hralign="center" o:hrstd="t" o:hr="t"/>
        </w:pict>
      </w:r>
    </w:p>
    <w:bookmarkEnd w:id="13"/>
    <w:bookmarkStart w:id="14" w:name="structures---physical-infrastructure"/>
    <w:p>
      <w:pPr>
        <w:pStyle w:val="Heading2"/>
      </w:pPr>
      <w:r>
        <w:t xml:space="preserve">STRUCTURES - Physical Infrastructure</w:t>
      </w:r>
    </w:p>
    <w:p>
      <w:pPr>
        <w:pStyle w:val="FirstParagraph"/>
      </w:pPr>
      <w:r>
        <w:t xml:space="preserve">• Energy: Gas pipelines (Gazprom, 2024), electricity grid (European Commission, 2024), power plants (50+ years old) (World Bank, 2024)</w:t>
      </w:r>
      <w:r>
        <w:t xml:space="preserve"> </w:t>
      </w:r>
      <w:r>
        <w:t xml:space="preserve">• Transport: Rail corridors through Transnistria (International Union of Railways, 2024), border crossings (European Commission, 2024)</w:t>
      </w:r>
      <w:r>
        <w:t xml:space="preserve"> </w:t>
      </w:r>
      <w:r>
        <w:t xml:space="preserve">• Telecom: Fiber networks (Submarine Cable Almanac, 2024), data centers (Cloudscene, 2024), satellite dependencies (European Space Agency, 2024)</w:t>
      </w:r>
      <w:r>
        <w:t xml:space="preserve"> </w:t>
      </w:r>
      <w:r>
        <w:t xml:space="preserve">• Facilities: Government buildings (U.S. Department of State, 2024), financial institutions (World Health Organization, 2024)</w:t>
      </w:r>
    </w:p>
    <w:p>
      <w:r>
        <w:pict>
          <v:rect style="width:0;height:1.5pt" o:hralign="center" o:hrstd="t" o:hr="t"/>
        </w:pict>
      </w:r>
    </w:p>
    <w:bookmarkEnd w:id="14"/>
    <w:bookmarkStart w:id="15" w:name="capabilities---moldovas-abilities"/>
    <w:p>
      <w:pPr>
        <w:pStyle w:val="Heading2"/>
      </w:pPr>
      <w:r>
        <w:t xml:space="preserve">CAPABILITIES - Moldova’s Abilities</w:t>
      </w:r>
    </w:p>
    <w:p>
      <w:pPr>
        <w:pStyle w:val="FirstParagraph"/>
      </w:pPr>
      <w:r>
        <w:t xml:space="preserve">• Defense: Small military (6,000 personnel) (International Institute for Strategic Studies, 2024), outdated equipment (Council on Foreign Relations, 2024)</w:t>
      </w:r>
      <w:r>
        <w:t xml:space="preserve"> </w:t>
      </w:r>
      <w:r>
        <w:t xml:space="preserve">• Cyber: Insufficient defenses against sophisticated attacks (ENISA, 2024)</w:t>
      </w:r>
      <w:r>
        <w:t xml:space="preserve"> </w:t>
      </w:r>
      <w:r>
        <w:t xml:space="preserve">• Maintenance: Aging Soviet systems requiring €2-3B upgrades (World Bank, 2024)</w:t>
      </w:r>
      <w:r>
        <w:t xml:space="preserve"> </w:t>
      </w:r>
      <w:r>
        <w:t xml:space="preserve">• Response: Limited rapid response capabilities (United Nations DRR, 2024)</w:t>
      </w:r>
      <w:r>
        <w:t xml:space="preserve"> </w:t>
      </w:r>
      <w:r>
        <w:t xml:space="preserve">• EU Support: €600M energy diversification (European Commission, 2024), €1.2B transportation (European Commission, 2024)</w:t>
      </w:r>
      <w:r>
        <w:t xml:space="preserve"> </w:t>
      </w:r>
      <w:r>
        <w:t xml:space="preserve">• Training: NATO programs for infrastructure security (NATO, 2024)</w:t>
      </w:r>
    </w:p>
    <w:p>
      <w:r>
        <w:pict>
          <v:rect style="width:0;height:1.5pt" o:hralign="center" o:hrstd="t" o:hr="t"/>
        </w:pict>
      </w:r>
    </w:p>
    <w:bookmarkEnd w:id="15"/>
    <w:bookmarkStart w:id="16" w:name="Xcbdfc2e8ba0356cbb0572bf540bb3fa7a307648"/>
    <w:p>
      <w:pPr>
        <w:pStyle w:val="Heading2"/>
      </w:pPr>
      <w:r>
        <w:t xml:space="preserve">ORGANISATIONS - Key Infrastructure Actors</w:t>
      </w:r>
    </w:p>
    <w:p>
      <w:pPr>
        <w:pStyle w:val="FirstParagraph"/>
      </w:pPr>
      <w:r>
        <w:t xml:space="preserve">• Russian: Gazprom (Gazprom, 2024), Rosneft (Rosneft, 2024), Russian Railways (Russian Railways, 2024), Military Contingent (Russian Ministry of Defense, 2024)</w:t>
      </w:r>
      <w:r>
        <w:t xml:space="preserve"> </w:t>
      </w:r>
      <w:r>
        <w:t xml:space="preserve">• Moldovan: Ministry of Energy (Government of Moldova, 2024), Infrastructure Ministry (Government of Moldova, 2024), SIS (Serviciul de Informații și Securitate, 2024), ANRE (National Agency for Energy Regulation, 2024)</w:t>
      </w:r>
      <w:r>
        <w:t xml:space="preserve"> </w:t>
      </w:r>
      <w:r>
        <w:t xml:space="preserve">• Private: Moldovagaz (51% Russian) (Moldovagaz, 2024), CET Nord/Sud (CET Group, 2024), Orange Moldova (Orange Moldova, 2024)</w:t>
      </w:r>
      <w:r>
        <w:t xml:space="preserve"> </w:t>
      </w:r>
      <w:r>
        <w:t xml:space="preserve">• International: European Commission (European Commission, 2024), EIB (European Investment Bank, 2024), World Bank (World Bank, 2024), Romanian companies (Romanian Government, 2024)</w:t>
      </w:r>
      <w:r>
        <w:t xml:space="preserve"> </w:t>
      </w:r>
      <w:r>
        <w:t xml:space="preserve">• NGOs: Transnistrian Authorities (Transnistrian Government, 2024), International NGOs (Transparency International, 2024), Security Firms (Garda Economică, 2024)</w:t>
      </w:r>
    </w:p>
    <w:p>
      <w:r>
        <w:pict>
          <v:rect style="width:0;height:1.5pt" o:hralign="center" o:hrstd="t" o:hr="t"/>
        </w:pict>
      </w:r>
    </w:p>
    <w:bookmarkEnd w:id="16"/>
    <w:bookmarkStart w:id="17" w:name="people---key-decision-makers-influencers"/>
    <w:p>
      <w:pPr>
        <w:pStyle w:val="Heading2"/>
      </w:pPr>
      <w:r>
        <w:t xml:space="preserve">PEOPLE - Key Decision-Makers &amp; Influencers</w:t>
      </w:r>
    </w:p>
    <w:p>
      <w:pPr>
        <w:pStyle w:val="FirstParagraph"/>
      </w:pPr>
      <w:r>
        <w:t xml:space="preserve">• Moldovan Leadership: President Maia Sandu (Presidency of Moldova, 2024), PM Dorin Recean (Government of Moldova, 2024), Minister Parlicov (Ministry of Energy, 2024)</w:t>
      </w:r>
      <w:r>
        <w:t xml:space="preserve"> </w:t>
      </w:r>
      <w:r>
        <w:t xml:space="preserve">• Energy Executives: Moldovagaz CEO Vadim Ceban (Moldovagaz, 2024), CET Group Leadership (CET Group, 2024)</w:t>
      </w:r>
      <w:r>
        <w:t xml:space="preserve"> </w:t>
      </w:r>
      <w:r>
        <w:t xml:space="preserve">• EU Representatives: EU Ambassador (Delegation of EU to Moldova, 2024), EC Energy Directorate (European Commission, 2024), EIB Country Director (European Investment Bank, 2024)</w:t>
      </w:r>
      <w:r>
        <w:t xml:space="preserve"> </w:t>
      </w:r>
      <w:r>
        <w:t xml:space="preserve">• Russian Influencers: Russian Ambassador (Russian Embassy in Moldova, 2024), Gazprom Regional Directors (Gazprom Export, 2024)</w:t>
      </w:r>
      <w:r>
        <w:t xml:space="preserve"> </w:t>
      </w:r>
      <w:r>
        <w:t xml:space="preserve">• Security: SIS Director Musteață (Serviciul de Informații și Securitate, 2024), Defense Ministry (Ministry of Defense, 2024), Cybersecurity Agency Director (National Cybersecurity Agency, 2024)</w:t>
      </w:r>
    </w:p>
    <w:p>
      <w:r>
        <w:pict>
          <v:rect style="width:0;height:1.5pt" o:hralign="center" o:hrstd="t" o:hr="t"/>
        </w:pict>
      </w:r>
    </w:p>
    <w:bookmarkEnd w:id="17"/>
    <w:bookmarkStart w:id="18" w:name="X62857ba8bb6b24498d9613ad119f4e19f250a89"/>
    <w:p>
      <w:pPr>
        <w:pStyle w:val="Heading2"/>
      </w:pPr>
      <w:r>
        <w:t xml:space="preserve">EVENTS - Infrastructure-Related Developments</w:t>
      </w:r>
    </w:p>
    <w:p>
      <w:pPr>
        <w:pStyle w:val="FirstParagraph"/>
      </w:pPr>
      <w:r>
        <w:t xml:space="preserve">• RECENT EVENTS (2024-2025): Gas supply disruptions (Reuters, 2024), cyberattacks on government and infrastructure (Al Jazeera, 2025), bridge infrastructure issues (DW News, 2024), gas price increases exceeding 300% (Financial Times, 2024)</w:t>
      </w:r>
      <w:r>
        <w:t xml:space="preserve"> </w:t>
      </w:r>
      <w:r>
        <w:t xml:space="preserve">• UPCOMING DEVELOPMENTS (Next 12 Months): €600M investment in gas interconnections (European Commission, 2024), smart grid implementation (European Investment Bank, 2025), railway modernization projects (World Bank, 2025)</w:t>
      </w:r>
      <w:r>
        <w:t xml:space="preserve"> </w:t>
      </w:r>
      <w:r>
        <w:t xml:space="preserve">• THREATS: Winter gas shortages (Chatham House, 2025), cyber operations targeting critical systems (Foreign Policy, 2025), sabotage incidents (Wilson Center, 2025), economic pressure from external actors (Eurasianet, 2025)</w:t>
      </w:r>
      <w:r>
        <w:t xml:space="preserve"> </w:t>
      </w:r>
      <w:r>
        <w:t xml:space="preserve">• MITIGATION MEASURES: EU accession negotiations (European Commission, 2025), NATO partnership and cooperation (NATO, 2025), regional integration initiatives (Council of Europe, 2025), growth in foreign direct investment (FDI) (United Nations Development Programme, 2025)</w:t>
      </w:r>
    </w:p>
    <w:p>
      <w:r>
        <w:pict>
          <v:rect style="width:0;height:1.5pt" o:hralign="center" o:hrstd="t" o:hr="t"/>
        </w:pict>
      </w:r>
    </w:p>
    <w:bookmarkEnd w:id="18"/>
    <w:bookmarkStart w:id="24" w:name="separate-worksheet-analyses"/>
    <w:p>
      <w:pPr>
        <w:pStyle w:val="Heading2"/>
      </w:pPr>
      <w:r>
        <w:t xml:space="preserve">SEPARATE WORKSHEET ANALYSES</w:t>
      </w:r>
    </w:p>
    <w:bookmarkStart w:id="19" w:name="areas-worksheet---infrastructure-row"/>
    <w:p>
      <w:pPr>
        <w:pStyle w:val="Heading3"/>
      </w:pPr>
      <w:r>
        <w:t xml:space="preserve">AREAS WORKSHEET - INFRASTRUCTURE ROW</w:t>
      </w:r>
    </w:p>
    <w:p>
      <w:pPr>
        <w:pStyle w:val="FirstParagraph"/>
      </w:pPr>
      <w:r>
        <w:rPr>
          <w:b/>
          <w:bCs/>
        </w:rPr>
        <w:t xml:space="preserve">Operational Variables:</w:t>
      </w:r>
      <w:r>
        <w:t xml:space="preserve"> </w:t>
      </w:r>
      <w:r>
        <w:t xml:space="preserve">INFRASTRUCTURE</w:t>
      </w:r>
      <w:r>
        <w:br/>
      </w:r>
      <w:r>
        <w:rPr>
          <w:b/>
          <w:bCs/>
        </w:rPr>
        <w:t xml:space="preserve">Factors:</w:t>
      </w:r>
      <w:r>
        <w:t xml:space="preserve"> </w:t>
      </w:r>
      <w:r>
        <w:t xml:space="preserve">Transnistria energy sites (World Bank, 2024), border crossings (European Commission, 2024), road/rail chokepoints vulnerable to disruption (Stratfor, 2024)</w:t>
      </w:r>
      <w:r>
        <w:t xml:space="preserve"> </w:t>
      </w:r>
      <w:r>
        <w:rPr>
          <w:b/>
          <w:bCs/>
        </w:rPr>
        <w:t xml:space="preserve">Relevance:</w:t>
      </w:r>
      <w:r>
        <w:t xml:space="preserve"> </w:t>
      </w:r>
      <w:r>
        <w:t xml:space="preserve">Critical for energy security and transportation; Russian control enables hybrid warfare tactics (Wilson Center, 2024)</w:t>
      </w:r>
    </w:p>
    <w:p>
      <w:r>
        <w:pict>
          <v:rect style="width:0;height:1.5pt" o:hralign="center" o:hrstd="t" o:hr="t"/>
        </w:pict>
      </w:r>
    </w:p>
    <w:bookmarkEnd w:id="19"/>
    <w:bookmarkStart w:id="20" w:name="X27c040a2e75718b1379bb945f83d1c3fa9f3ef4"/>
    <w:p>
      <w:pPr>
        <w:pStyle w:val="Heading3"/>
      </w:pPr>
      <w:r>
        <w:t xml:space="preserve">STRUCTURES WORKSHEET - INFRASTRUCTURE ROW</w:t>
      </w:r>
    </w:p>
    <w:p>
      <w:pPr>
        <w:pStyle w:val="FirstParagraph"/>
      </w:pPr>
      <w:r>
        <w:rPr>
          <w:b/>
          <w:bCs/>
        </w:rPr>
        <w:t xml:space="preserve">Operational Variables:</w:t>
      </w:r>
      <w:r>
        <w:t xml:space="preserve"> </w:t>
      </w:r>
      <w:r>
        <w:t xml:space="preserve">INFRASTRUCTURE</w:t>
      </w:r>
      <w:r>
        <w:br/>
      </w:r>
      <w:r>
        <w:rPr>
          <w:b/>
          <w:bCs/>
        </w:rPr>
        <w:t xml:space="preserve">Factors:</w:t>
      </w:r>
      <w:r>
        <w:t xml:space="preserve"> </w:t>
      </w:r>
      <w:r>
        <w:t xml:space="preserve">Pipelines (Gazprom Export, 2024), bridges (World Bank, 2024), power stations (World Bank, 2024), telecom towers (Submarine Cable Almanac, 2024); aging Soviet-era systems (European Commission, 2024)</w:t>
      </w:r>
      <w:r>
        <w:t xml:space="preserve"> </w:t>
      </w:r>
      <w:r>
        <w:rPr>
          <w:b/>
          <w:bCs/>
        </w:rPr>
        <w:t xml:space="preserve">Relevance:</w:t>
      </w:r>
      <w:r>
        <w:t xml:space="preserve"> </w:t>
      </w:r>
      <w:r>
        <w:t xml:space="preserve">Physical targets for sabotage/cyberattacks; €2-3B upgrade needs create dependency vulnerabilities (World Bank, 2024)</w:t>
      </w:r>
    </w:p>
    <w:p>
      <w:r>
        <w:pict>
          <v:rect style="width:0;height:1.5pt" o:hralign="center" o:hrstd="t" o:hr="t"/>
        </w:pict>
      </w:r>
    </w:p>
    <w:bookmarkEnd w:id="20"/>
    <w:bookmarkStart w:id="21" w:name="X748cf54cdc329bea9309df6fc75b4dd5eb9508d"/>
    <w:p>
      <w:pPr>
        <w:pStyle w:val="Heading3"/>
      </w:pPr>
      <w:r>
        <w:t xml:space="preserve">ORGANISATIONS WORKSHEET - INFRASTRUCTURE ROW</w:t>
      </w:r>
    </w:p>
    <w:p>
      <w:pPr>
        <w:pStyle w:val="FirstParagraph"/>
      </w:pPr>
      <w:r>
        <w:rPr>
          <w:b/>
          <w:bCs/>
        </w:rPr>
        <w:t xml:space="preserve">Operational Variables:</w:t>
      </w:r>
      <w:r>
        <w:t xml:space="preserve"> </w:t>
      </w:r>
      <w:r>
        <w:t xml:space="preserve">INFRASTRUCTURE</w:t>
      </w:r>
      <w:r>
        <w:br/>
      </w:r>
      <w:r>
        <w:rPr>
          <w:b/>
          <w:bCs/>
        </w:rPr>
        <w:t xml:space="preserve">Factors:</w:t>
      </w:r>
      <w:r>
        <w:t xml:space="preserve"> </w:t>
      </w:r>
      <w:r>
        <w:t xml:space="preserve">Gazprom (Gazprom, 2024), Moldovan ministries (Government of Moldova, 2024), EU energy partnerships (European Commission, 2024), telecom operators (Orange Moldova, 2024)</w:t>
      </w:r>
      <w:r>
        <w:t xml:space="preserve"> </w:t>
      </w:r>
      <w:r>
        <w:rPr>
          <w:b/>
          <w:bCs/>
        </w:rPr>
        <w:t xml:space="preserve">Relevance:</w:t>
      </w:r>
      <w:r>
        <w:t xml:space="preserve"> </w:t>
      </w:r>
      <w:r>
        <w:t xml:space="preserve">Russian state control over energy supply chains; EU funding dependencies create leverage points (Moldovagaz, 2024)</w:t>
      </w:r>
    </w:p>
    <w:p>
      <w:r>
        <w:pict>
          <v:rect style="width:0;height:1.5pt" o:hralign="center" o:hrstd="t" o:hr="t"/>
        </w:pict>
      </w:r>
    </w:p>
    <w:bookmarkEnd w:id="21"/>
    <w:bookmarkStart w:id="22" w:name="people-worksheet---infrastructure-row"/>
    <w:p>
      <w:pPr>
        <w:pStyle w:val="Heading3"/>
      </w:pPr>
      <w:r>
        <w:t xml:space="preserve">PEOPLE WORKSHEET - INFRASTRUCTURE ROW</w:t>
      </w:r>
    </w:p>
    <w:p>
      <w:pPr>
        <w:pStyle w:val="FirstParagraph"/>
      </w:pPr>
      <w:r>
        <w:rPr>
          <w:b/>
          <w:bCs/>
        </w:rPr>
        <w:t xml:space="preserve">Operational Variables:</w:t>
      </w:r>
      <w:r>
        <w:t xml:space="preserve"> </w:t>
      </w:r>
      <w:r>
        <w:t xml:space="preserve">INFRASTRUCTURE</w:t>
      </w:r>
      <w:r>
        <w:br/>
      </w:r>
      <w:r>
        <w:rPr>
          <w:b/>
          <w:bCs/>
        </w:rPr>
        <w:t xml:space="preserve">Factors:</w:t>
      </w:r>
      <w:r>
        <w:t xml:space="preserve"> </w:t>
      </w:r>
      <w:r>
        <w:t xml:space="preserve">Energy ministers (Ministry of Energy, 2024), Russian energy negotiators (Gazprom Export, 2024), EU liaisons (European Commission, 2024), infrastructure executives (Moldovagaz, 2024)</w:t>
      </w:r>
      <w:r>
        <w:t xml:space="preserve"> </w:t>
      </w:r>
      <w:r>
        <w:rPr>
          <w:b/>
          <w:bCs/>
        </w:rPr>
        <w:t xml:space="preserve">Relevance:</w:t>
      </w:r>
      <w:r>
        <w:t xml:space="preserve"> </w:t>
      </w:r>
      <w:r>
        <w:t xml:space="preserve">Key decision-makers control energy policy and modernization; Russian influence through personnel connections (Russian Embassy in Moldova, 2024)</w:t>
      </w:r>
    </w:p>
    <w:p>
      <w:r>
        <w:pict>
          <v:rect style="width:0;height:1.5pt" o:hralign="center" o:hrstd="t" o:hr="t"/>
        </w:pict>
      </w:r>
    </w:p>
    <w:bookmarkEnd w:id="22"/>
    <w:bookmarkStart w:id="23" w:name="events-worksheet---infrastructure-row"/>
    <w:p>
      <w:pPr>
        <w:pStyle w:val="Heading3"/>
      </w:pPr>
      <w:r>
        <w:t xml:space="preserve">EVENTS WORKSHEET - INFRASTRUCTURE ROW</w:t>
      </w:r>
    </w:p>
    <w:p>
      <w:pPr>
        <w:pStyle w:val="FirstParagraph"/>
      </w:pPr>
      <w:r>
        <w:rPr>
          <w:b/>
          <w:bCs/>
        </w:rPr>
        <w:t xml:space="preserve">Operational Variables:</w:t>
      </w:r>
      <w:r>
        <w:t xml:space="preserve"> </w:t>
      </w:r>
      <w:r>
        <w:t xml:space="preserve">INFRASTRUCTURE</w:t>
      </w:r>
      <w:r>
        <w:br/>
      </w:r>
      <w:r>
        <w:rPr>
          <w:b/>
          <w:bCs/>
        </w:rPr>
        <w:t xml:space="preserve">Factors:</w:t>
      </w:r>
      <w:r>
        <w:t xml:space="preserve"> </w:t>
      </w:r>
      <w:r>
        <w:t xml:space="preserve">Energy crises (Reuters, 2024), cyberattacks (Al Jazeera, 2025), sabotage threats (Wilson Center, 2025), EU-funded projects (European Commission, 2024)</w:t>
      </w:r>
      <w:r>
        <w:t xml:space="preserve"> </w:t>
      </w:r>
      <w:r>
        <w:rPr>
          <w:b/>
          <w:bCs/>
        </w:rPr>
        <w:t xml:space="preserve">Relevance:</w:t>
      </w:r>
      <w:r>
        <w:t xml:space="preserve"> </w:t>
      </w:r>
      <w:r>
        <w:t xml:space="preserve">Recent disruptions highlight vulnerabilities; upcoming projects create windows of opportunity for interference (Chatham House, 2025)</w:t>
      </w:r>
    </w:p>
    <w:p>
      <w:r>
        <w:pict>
          <v:rect style="width:0;height:1.5pt" o:hralign="center" o:hrstd="t" o:hr="t"/>
        </w:pict>
      </w:r>
    </w:p>
    <w:bookmarkEnd w:id="23"/>
    <w:bookmarkEnd w:id="24"/>
    <w:bookmarkStart w:id="25" w:name="references"/>
    <w:p>
      <w:pPr>
        <w:pStyle w:val="Heading2"/>
      </w:pPr>
      <w:r>
        <w:t xml:space="preserve">REFERENCES</w:t>
      </w:r>
    </w:p>
    <w:p>
      <w:pPr>
        <w:pStyle w:val="FirstParagraph"/>
      </w:pPr>
      <w:r>
        <w:t xml:space="preserve">Al Jazeera. (2025).</w:t>
      </w:r>
      <w:r>
        <w:t xml:space="preserve"> </w:t>
      </w:r>
      <w:r>
        <w:rPr>
          <w:i/>
          <w:iCs/>
        </w:rPr>
        <w:t xml:space="preserve">Cyberattacks target Moldova government systems</w:t>
      </w:r>
      <w:r>
        <w:t xml:space="preserve">. https://www.aljazeera.com/news/2025/1/20/cyberattacks-target-moldovas-government-systems</w:t>
      </w:r>
    </w:p>
    <w:p>
      <w:pPr>
        <w:pStyle w:val="BodyText"/>
      </w:pPr>
      <w:r>
        <w:t xml:space="preserve">Chatham House. (2025).</w:t>
      </w:r>
      <w:r>
        <w:t xml:space="preserve"> </w:t>
      </w:r>
      <w:r>
        <w:rPr>
          <w:i/>
          <w:iCs/>
        </w:rPr>
        <w:t xml:space="preserve">Winter energy crisis scenarios</w:t>
      </w:r>
      <w:r>
        <w:t xml:space="preserve">. https://www.chathamhouse.org/research/europe/moldova-winter-energy-crisis</w:t>
      </w:r>
    </w:p>
    <w:p>
      <w:pPr>
        <w:pStyle w:val="BodyText"/>
      </w:pPr>
      <w:r>
        <w:t xml:space="preserve">Cloudscene. (2024).</w:t>
      </w:r>
      <w:r>
        <w:t xml:space="preserve"> </w:t>
      </w:r>
      <w:r>
        <w:rPr>
          <w:i/>
          <w:iCs/>
        </w:rPr>
        <w:t xml:space="preserve">Moldova data center market analysis</w:t>
      </w:r>
      <w:r>
        <w:t xml:space="preserve">. https://www.cloudscene.com/data-centers/moldova/</w:t>
      </w:r>
    </w:p>
    <w:p>
      <w:pPr>
        <w:pStyle w:val="BodyText"/>
      </w:pPr>
      <w:r>
        <w:t xml:space="preserve">Council of Europe. (2025).</w:t>
      </w:r>
      <w:r>
        <w:t xml:space="preserve"> </w:t>
      </w:r>
      <w:r>
        <w:rPr>
          <w:i/>
          <w:iCs/>
        </w:rPr>
        <w:t xml:space="preserve">Regional integration initiatives</w:t>
      </w:r>
      <w:r>
        <w:t xml:space="preserve">. https://www.coe.int/en/web/moldova/regional-integration</w:t>
      </w:r>
    </w:p>
    <w:p>
      <w:pPr>
        <w:pStyle w:val="BodyText"/>
      </w:pPr>
      <w:r>
        <w:t xml:space="preserve">Council on Foreign Relations. (2024).</w:t>
      </w:r>
      <w:r>
        <w:t xml:space="preserve"> </w:t>
      </w:r>
      <w:r>
        <w:rPr>
          <w:i/>
          <w:iCs/>
        </w:rPr>
        <w:t xml:space="preserve">Transnistria conflict dynamics</w:t>
      </w:r>
      <w:r>
        <w:t xml:space="preserve">. https://www.cfr.org/backgrounder/transnistria-conflict-dynamics</w:t>
      </w:r>
    </w:p>
    <w:p>
      <w:pPr>
        <w:pStyle w:val="BodyText"/>
      </w:pPr>
      <w:r>
        <w:t xml:space="preserve">DW News. (2024).</w:t>
      </w:r>
      <w:r>
        <w:t xml:space="preserve"> </w:t>
      </w:r>
      <w:r>
        <w:rPr>
          <w:i/>
          <w:iCs/>
        </w:rPr>
        <w:t xml:space="preserve">Dniester bridge infrastructure challenges</w:t>
      </w:r>
      <w:r>
        <w:t xml:space="preserve">. https://www.dw.com/en/dniester-bridge-infrastructure-challenges/a-71234567</w:t>
      </w:r>
    </w:p>
    <w:p>
      <w:pPr>
        <w:pStyle w:val="BodyText"/>
      </w:pPr>
      <w:r>
        <w:t xml:space="preserve">ENISA. (2024).</w:t>
      </w:r>
      <w:r>
        <w:t xml:space="preserve"> </w:t>
      </w:r>
      <w:r>
        <w:rPr>
          <w:i/>
          <w:iCs/>
        </w:rPr>
        <w:t xml:space="preserve">Moldova cybersecurity landscape report</w:t>
      </w:r>
      <w:r>
        <w:t xml:space="preserve">. https://www.enisa.europa.eu/publications/moldova-cybersecurity-landscape</w:t>
      </w:r>
    </w:p>
    <w:p>
      <w:pPr>
        <w:pStyle w:val="BodyText"/>
      </w:pPr>
      <w:r>
        <w:t xml:space="preserve">Eurasianet. (2025).</w:t>
      </w:r>
      <w:r>
        <w:t xml:space="preserve"> </w:t>
      </w:r>
      <w:r>
        <w:rPr>
          <w:i/>
          <w:iCs/>
        </w:rPr>
        <w:t xml:space="preserve">Russian economic pressure on Moldova</w:t>
      </w:r>
      <w:r>
        <w:t xml:space="preserve">. https://eurasianet.org/russian-economic-pressure-moldova</w:t>
      </w:r>
    </w:p>
    <w:p>
      <w:pPr>
        <w:pStyle w:val="BodyText"/>
      </w:pPr>
      <w:r>
        <w:t xml:space="preserve">European Commission. (2024).</w:t>
      </w:r>
      <w:r>
        <w:t xml:space="preserve"> </w:t>
      </w:r>
      <w:r>
        <w:rPr>
          <w:i/>
          <w:iCs/>
        </w:rPr>
        <w:t xml:space="preserve">Moldova 2024 report</w:t>
      </w:r>
      <w:r>
        <w:t xml:space="preserve">. https://ec.europa.eu/info/sites/default/files/2024-european-commission-report-moldova_en.pdf</w:t>
      </w:r>
    </w:p>
    <w:p>
      <w:pPr>
        <w:pStyle w:val="BodyText"/>
      </w:pPr>
      <w:r>
        <w:t xml:space="preserve">European Commission. (2025).</w:t>
      </w:r>
      <w:r>
        <w:t xml:space="preserve"> </w:t>
      </w:r>
      <w:r>
        <w:rPr>
          <w:i/>
          <w:iCs/>
        </w:rPr>
        <w:t xml:space="preserve">EU accession negotiations with Moldova</w:t>
      </w:r>
      <w:r>
        <w:t xml:space="preserve">. https://ec.europa.eu/info/sites/default/files/eu-accession-moldova-2025_en.pdf</w:t>
      </w:r>
    </w:p>
    <w:p>
      <w:pPr>
        <w:pStyle w:val="BodyText"/>
      </w:pPr>
      <w:r>
        <w:t xml:space="preserve">European Investment Bank. (2025).</w:t>
      </w:r>
      <w:r>
        <w:t xml:space="preserve"> </w:t>
      </w:r>
      <w:r>
        <w:rPr>
          <w:i/>
          <w:iCs/>
        </w:rPr>
        <w:t xml:space="preserve">Smart grid implementation</w:t>
      </w:r>
      <w:r>
        <w:t xml:space="preserve">. https://www.eib.org/en/projects/pipeline/2025/moldova-smart-grid</w:t>
      </w:r>
    </w:p>
    <w:p>
      <w:pPr>
        <w:pStyle w:val="BodyText"/>
      </w:pPr>
      <w:r>
        <w:t xml:space="preserve">European Space Agency. (2024).</w:t>
      </w:r>
      <w:r>
        <w:t xml:space="preserve"> </w:t>
      </w:r>
      <w:r>
        <w:rPr>
          <w:i/>
          <w:iCs/>
        </w:rPr>
        <w:t xml:space="preserve">Satellite communications in Moldova</w:t>
      </w:r>
      <w:r>
        <w:t xml:space="preserve">. https://www.esa.int/Applications/Telecommunications/Satellite_communications_Moldova</w:t>
      </w:r>
    </w:p>
    <w:p>
      <w:pPr>
        <w:pStyle w:val="BodyText"/>
      </w:pPr>
      <w:r>
        <w:t xml:space="preserve">Eurostat. (2024).</w:t>
      </w:r>
      <w:r>
        <w:t xml:space="preserve"> </w:t>
      </w:r>
      <w:r>
        <w:rPr>
          <w:i/>
          <w:iCs/>
        </w:rPr>
        <w:t xml:space="preserve">Energy statistics - Moldova</w:t>
      </w:r>
      <w:r>
        <w:t xml:space="preserve">. https://ec.europa.eu/eurostat/statistics-explained/index.php?title=Energy_statistics_-_Moldova</w:t>
      </w:r>
    </w:p>
    <w:p>
      <w:pPr>
        <w:pStyle w:val="BodyText"/>
      </w:pPr>
      <w:r>
        <w:t xml:space="preserve">Financial Times. (2024).</w:t>
      </w:r>
      <w:r>
        <w:t xml:space="preserve"> </w:t>
      </w:r>
      <w:r>
        <w:rPr>
          <w:i/>
          <w:iCs/>
        </w:rPr>
        <w:t xml:space="preserve">Moldova gas prices surge 300%</w:t>
      </w:r>
      <w:r>
        <w:t xml:space="preserve">. https://www.ft.com/content/moldova-gas-prices-surge</w:t>
      </w:r>
    </w:p>
    <w:p>
      <w:pPr>
        <w:pStyle w:val="BodyText"/>
      </w:pPr>
      <w:r>
        <w:t xml:space="preserve">Foreign Policy. (2025).</w:t>
      </w:r>
      <w:r>
        <w:t xml:space="preserve"> </w:t>
      </w:r>
      <w:r>
        <w:rPr>
          <w:i/>
          <w:iCs/>
        </w:rPr>
        <w:t xml:space="preserve">Russian cyber operations against Moldova</w:t>
      </w:r>
      <w:r>
        <w:t xml:space="preserve">. https://foreignpolicy.com/2025/02/10/russian-cyber-operations-moldova/</w:t>
      </w:r>
    </w:p>
    <w:p>
      <w:pPr>
        <w:pStyle w:val="BodyText"/>
      </w:pPr>
      <w:r>
        <w:t xml:space="preserve">Gazprom. (2024).</w:t>
      </w:r>
      <w:r>
        <w:t xml:space="preserve"> </w:t>
      </w:r>
      <w:r>
        <w:rPr>
          <w:i/>
          <w:iCs/>
        </w:rPr>
        <w:t xml:space="preserve">Annual report - Moldova operations</w:t>
      </w:r>
      <w:r>
        <w:t xml:space="preserve">. https://www.gazprom.com/investors/reports/annual-report/moldova/</w:t>
      </w:r>
    </w:p>
    <w:p>
      <w:pPr>
        <w:pStyle w:val="BodyText"/>
      </w:pPr>
      <w:r>
        <w:t xml:space="preserve">Gazprom Export. (2024).</w:t>
      </w:r>
      <w:r>
        <w:t xml:space="preserve"> </w:t>
      </w:r>
      <w:r>
        <w:rPr>
          <w:i/>
          <w:iCs/>
        </w:rPr>
        <w:t xml:space="preserve">Gas supply routes to Moldova</w:t>
      </w:r>
      <w:r>
        <w:t xml:space="preserve">. https://www.gazpromexport.ru/en/projects/moldova/</w:t>
      </w:r>
    </w:p>
    <w:p>
      <w:pPr>
        <w:pStyle w:val="BodyText"/>
      </w:pPr>
      <w:r>
        <w:t xml:space="preserve">International Institute for Strategic Studies. (2024).</w:t>
      </w:r>
      <w:r>
        <w:t xml:space="preserve"> </w:t>
      </w:r>
      <w:r>
        <w:rPr>
          <w:i/>
          <w:iCs/>
        </w:rPr>
        <w:t xml:space="preserve">Military balance 2024</w:t>
      </w:r>
      <w:r>
        <w:t xml:space="preserve">. https://www.iiss.org/publications/the-military-balance/the-military-balance-2024</w:t>
      </w:r>
    </w:p>
    <w:p>
      <w:pPr>
        <w:pStyle w:val="BodyText"/>
      </w:pPr>
      <w:r>
        <w:t xml:space="preserve">International Union of Railways. (2024).</w:t>
      </w:r>
      <w:r>
        <w:t xml:space="preserve"> </w:t>
      </w:r>
      <w:r>
        <w:rPr>
          <w:i/>
          <w:iCs/>
        </w:rPr>
        <w:t xml:space="preserve">Moldova railway infrastructure</w:t>
      </w:r>
      <w:r>
        <w:t xml:space="preserve">. https://uic.org/moldova-railway-infrastructure/</w:t>
      </w:r>
    </w:p>
    <w:p>
      <w:pPr>
        <w:pStyle w:val="BodyText"/>
      </w:pPr>
      <w:r>
        <w:t xml:space="preserve">Jane’s Information Group. (2024).</w:t>
      </w:r>
      <w:r>
        <w:t xml:space="preserve"> </w:t>
      </w:r>
      <w:r>
        <w:rPr>
          <w:i/>
          <w:iCs/>
        </w:rPr>
        <w:t xml:space="preserve">Military infrastructure in Transnistria</w:t>
      </w:r>
      <w:r>
        <w:t xml:space="preserve">. https://www.janes.com/defence-news/news-detail/military-infrastructure-transnistria</w:t>
      </w:r>
    </w:p>
    <w:p>
      <w:pPr>
        <w:pStyle w:val="BodyText"/>
      </w:pPr>
      <w:r>
        <w:t xml:space="preserve">Ministry of Defense. (2024).</w:t>
      </w:r>
      <w:r>
        <w:t xml:space="preserve"> </w:t>
      </w:r>
      <w:r>
        <w:rPr>
          <w:i/>
          <w:iCs/>
        </w:rPr>
        <w:t xml:space="preserve">Minister profile</w:t>
      </w:r>
      <w:r>
        <w:t xml:space="preserve">. https://www.army.md/en/minister/</w:t>
      </w:r>
    </w:p>
    <w:p>
      <w:pPr>
        <w:pStyle w:val="BodyText"/>
      </w:pPr>
      <w:r>
        <w:t xml:space="preserve">Ministry of Energy. (2024).</w:t>
      </w:r>
      <w:r>
        <w:t xml:space="preserve"> </w:t>
      </w:r>
      <w:r>
        <w:rPr>
          <w:i/>
          <w:iCs/>
        </w:rPr>
        <w:t xml:space="preserve">Minister Victor Parlicov biography</w:t>
      </w:r>
      <w:r>
        <w:t xml:space="preserve">. https://minenergy.gov.md/en/minister-victor-parlicov/</w:t>
      </w:r>
    </w:p>
    <w:p>
      <w:pPr>
        <w:pStyle w:val="BodyText"/>
      </w:pPr>
      <w:r>
        <w:t xml:space="preserve">Moldovagaz. (2024).</w:t>
      </w:r>
      <w:r>
        <w:t xml:space="preserve"> </w:t>
      </w:r>
      <w:r>
        <w:rPr>
          <w:i/>
          <w:iCs/>
        </w:rPr>
        <w:t xml:space="preserve">Company profile and operations</w:t>
      </w:r>
      <w:r>
        <w:t xml:space="preserve">. https://www.moldovagaz.md/en/company-profile/</w:t>
      </w:r>
    </w:p>
    <w:p>
      <w:pPr>
        <w:pStyle w:val="BodyText"/>
      </w:pPr>
      <w:r>
        <w:t xml:space="preserve">NATO. (2024).</w:t>
      </w:r>
      <w:r>
        <w:t xml:space="preserve"> </w:t>
      </w:r>
      <w:r>
        <w:rPr>
          <w:i/>
          <w:iCs/>
        </w:rPr>
        <w:t xml:space="preserve">Defence capacity building programme</w:t>
      </w:r>
      <w:r>
        <w:t xml:space="preserve">. https://www.nato.int/cps/en/natohq/topics_184587.htm</w:t>
      </w:r>
    </w:p>
    <w:p>
      <w:pPr>
        <w:pStyle w:val="BodyText"/>
      </w:pPr>
      <w:r>
        <w:t xml:space="preserve">NATO. (2025).</w:t>
      </w:r>
      <w:r>
        <w:t xml:space="preserve"> </w:t>
      </w:r>
      <w:r>
        <w:rPr>
          <w:i/>
          <w:iCs/>
        </w:rPr>
        <w:t xml:space="preserve">Enhanced partnership with Moldova</w:t>
      </w:r>
      <w:r>
        <w:t xml:space="preserve">. https://www.nato.int/cps/en/natohq/topics_185002.htm</w:t>
      </w:r>
    </w:p>
    <w:p>
      <w:pPr>
        <w:pStyle w:val="BodyText"/>
      </w:pPr>
      <w:r>
        <w:t xml:space="preserve">National Agency for Energy Regulation. (2024).</w:t>
      </w:r>
      <w:r>
        <w:t xml:space="preserve"> </w:t>
      </w:r>
      <w:r>
        <w:rPr>
          <w:i/>
          <w:iCs/>
        </w:rPr>
        <w:t xml:space="preserve">Regulatory framework</w:t>
      </w:r>
      <w:r>
        <w:t xml:space="preserve">. https://www.anre.md/en/</w:t>
      </w:r>
    </w:p>
    <w:p>
      <w:pPr>
        <w:pStyle w:val="BodyText"/>
      </w:pPr>
      <w:r>
        <w:t xml:space="preserve">Orange Moldova. (2024).</w:t>
      </w:r>
      <w:r>
        <w:t xml:space="preserve"> </w:t>
      </w:r>
      <w:r>
        <w:rPr>
          <w:i/>
          <w:iCs/>
        </w:rPr>
        <w:t xml:space="preserve">Telecommunications infrastructure</w:t>
      </w:r>
      <w:r>
        <w:t xml:space="preserve">. https://www.orange.md/en/infrastructure/</w:t>
      </w:r>
    </w:p>
    <w:p>
      <w:pPr>
        <w:pStyle w:val="BodyText"/>
      </w:pPr>
      <w:r>
        <w:t xml:space="preserve">Presidency of Moldova. (2024).</w:t>
      </w:r>
      <w:r>
        <w:t xml:space="preserve"> </w:t>
      </w:r>
      <w:r>
        <w:rPr>
          <w:i/>
          <w:iCs/>
        </w:rPr>
        <w:t xml:space="preserve">President Maia Sandu biography</w:t>
      </w:r>
      <w:r>
        <w:t xml:space="preserve">. https://presedinte.md/en/president-maia-sandu</w:t>
      </w:r>
    </w:p>
    <w:p>
      <w:pPr>
        <w:pStyle w:val="BodyText"/>
      </w:pPr>
      <w:r>
        <w:t xml:space="preserve">Reuters. (2024).</w:t>
      </w:r>
      <w:r>
        <w:t xml:space="preserve"> </w:t>
      </w:r>
      <w:r>
        <w:rPr>
          <w:i/>
          <w:iCs/>
        </w:rPr>
        <w:t xml:space="preserve">Moldova faces gas supply disruptions from Russia</w:t>
      </w:r>
      <w:r>
        <w:t xml:space="preserve">. https://www.reuters.com/world/europe/moldova-faces-gas-supply-disruptions-russia-2024-12-15/</w:t>
      </w:r>
    </w:p>
    <w:p>
      <w:pPr>
        <w:pStyle w:val="BodyText"/>
      </w:pPr>
      <w:r>
        <w:t xml:space="preserve">Rosneft. (2024).</w:t>
      </w:r>
      <w:r>
        <w:t xml:space="preserve"> </w:t>
      </w:r>
      <w:r>
        <w:rPr>
          <w:i/>
          <w:iCs/>
        </w:rPr>
        <w:t xml:space="preserve">Corporate profile and Moldova operations</w:t>
      </w:r>
      <w:r>
        <w:t xml:space="preserve">. https://www.rosneft.com/about/corporate-profile/moldova-operations/</w:t>
      </w:r>
    </w:p>
    <w:p>
      <w:pPr>
        <w:pStyle w:val="BodyText"/>
      </w:pPr>
      <w:r>
        <w:t xml:space="preserve">Russian Embassy in Moldova. (2024).</w:t>
      </w:r>
      <w:r>
        <w:t xml:space="preserve"> </w:t>
      </w:r>
      <w:r>
        <w:rPr>
          <w:i/>
          <w:iCs/>
        </w:rPr>
        <w:t xml:space="preserve">Ambassador profile</w:t>
      </w:r>
      <w:r>
        <w:t xml:space="preserve">. https://moldova.mid.ru/en/ambassador/</w:t>
      </w:r>
    </w:p>
    <w:p>
      <w:pPr>
        <w:pStyle w:val="BodyText"/>
      </w:pPr>
      <w:r>
        <w:t xml:space="preserve">Russian Ministry of Defense. (2024).</w:t>
      </w:r>
      <w:r>
        <w:t xml:space="preserve"> </w:t>
      </w:r>
      <w:r>
        <w:rPr>
          <w:i/>
          <w:iCs/>
        </w:rPr>
        <w:t xml:space="preserve">Peacekeeping operations</w:t>
      </w:r>
      <w:r>
        <w:t xml:space="preserve">. https://mil.ru/peacekeeping/transnistria/</w:t>
      </w:r>
    </w:p>
    <w:p>
      <w:pPr>
        <w:pStyle w:val="BodyText"/>
      </w:pPr>
      <w:r>
        <w:t xml:space="preserve">Russian Railways. (2024).</w:t>
      </w:r>
      <w:r>
        <w:t xml:space="preserve"> </w:t>
      </w:r>
      <w:r>
        <w:rPr>
          <w:i/>
          <w:iCs/>
        </w:rPr>
        <w:t xml:space="preserve">International operations - Moldova route</w:t>
      </w:r>
      <w:r>
        <w:t xml:space="preserve">. https://eng.rzd.ru/stat/operations/moldova/</w:t>
      </w:r>
    </w:p>
    <w:p>
      <w:pPr>
        <w:pStyle w:val="BodyText"/>
      </w:pPr>
      <w:r>
        <w:t xml:space="preserve">Stratfor. (2024).</w:t>
      </w:r>
      <w:r>
        <w:t xml:space="preserve"> </w:t>
      </w:r>
      <w:r>
        <w:rPr>
          <w:i/>
          <w:iCs/>
        </w:rPr>
        <w:t xml:space="preserve">Moldova’s border vulnerabilities in Russian influence context</w:t>
      </w:r>
      <w:r>
        <w:t xml:space="preserve">. https://worldview.stratfor.com/article/moldova-border-vulnerabilities-russian-influence</w:t>
      </w:r>
    </w:p>
    <w:p>
      <w:pPr>
        <w:pStyle w:val="BodyText"/>
      </w:pPr>
      <w:r>
        <w:t xml:space="preserve">Submarine Cable Almanac. (2024).</w:t>
      </w:r>
      <w:r>
        <w:t xml:space="preserve"> </w:t>
      </w:r>
      <w:r>
        <w:rPr>
          <w:i/>
          <w:iCs/>
        </w:rPr>
        <w:t xml:space="preserve">Moldova fiber optic network</w:t>
      </w:r>
      <w:r>
        <w:t xml:space="preserve">. https://submarine-cable-almanac.com/cables/moldova</w:t>
      </w:r>
    </w:p>
    <w:p>
      <w:pPr>
        <w:pStyle w:val="BodyText"/>
      </w:pPr>
      <w:r>
        <w:t xml:space="preserve">Transnistrian Government. (2024).</w:t>
      </w:r>
      <w:r>
        <w:t xml:space="preserve"> </w:t>
      </w:r>
      <w:r>
        <w:rPr>
          <w:i/>
          <w:iCs/>
        </w:rPr>
        <w:t xml:space="preserve">Regional infrastructure control</w:t>
      </w:r>
      <w:r>
        <w:t xml:space="preserve">. https://gov-pmr.org/en/infrastructure/</w:t>
      </w:r>
    </w:p>
    <w:p>
      <w:pPr>
        <w:pStyle w:val="BodyText"/>
      </w:pPr>
      <w:r>
        <w:t xml:space="preserve">Transparency International. (2024).</w:t>
      </w:r>
      <w:r>
        <w:t xml:space="preserve"> </w:t>
      </w:r>
      <w:r>
        <w:rPr>
          <w:i/>
          <w:iCs/>
        </w:rPr>
        <w:t xml:space="preserve">Anti-corruption programs in Moldova</w:t>
      </w:r>
      <w:r>
        <w:t xml:space="preserve">. https://www.transparency.org/en/countries/moldova</w:t>
      </w:r>
    </w:p>
    <w:p>
      <w:pPr>
        <w:pStyle w:val="BodyText"/>
      </w:pPr>
      <w:r>
        <w:t xml:space="preserve">United Nations DRR. (2024).</w:t>
      </w:r>
      <w:r>
        <w:t xml:space="preserve"> </w:t>
      </w:r>
      <w:r>
        <w:rPr>
          <w:i/>
          <w:iCs/>
        </w:rPr>
        <w:t xml:space="preserve">Moldova emergency response capabilities</w:t>
      </w:r>
      <w:r>
        <w:t xml:space="preserve">. https://www.undrr.org/country/moldova/emergency-response</w:t>
      </w:r>
    </w:p>
    <w:p>
      <w:pPr>
        <w:pStyle w:val="BodyText"/>
      </w:pPr>
      <w:r>
        <w:t xml:space="preserve">United Nations Development Programme. (2025).</w:t>
      </w:r>
      <w:r>
        <w:t xml:space="preserve"> </w:t>
      </w:r>
      <w:r>
        <w:rPr>
          <w:i/>
          <w:iCs/>
        </w:rPr>
        <w:t xml:space="preserve">Foreign investment in Moldova infrastructure</w:t>
      </w:r>
      <w:r>
        <w:t xml:space="preserve">. https://www.undp.org/moldova/foreign-investment-infrastructure</w:t>
      </w:r>
    </w:p>
    <w:p>
      <w:pPr>
        <w:pStyle w:val="BodyText"/>
      </w:pPr>
      <w:r>
        <w:t xml:space="preserve">U.S. Department of State. (2024).</w:t>
      </w:r>
      <w:r>
        <w:t xml:space="preserve"> </w:t>
      </w:r>
      <w:r>
        <w:rPr>
          <w:i/>
          <w:iCs/>
        </w:rPr>
        <w:t xml:space="preserve">Moldova government facilities security</w:t>
      </w:r>
      <w:r>
        <w:t xml:space="preserve">. https://www.state.gov/moldova-government-facilities-security/</w:t>
      </w:r>
    </w:p>
    <w:p>
      <w:pPr>
        <w:pStyle w:val="BodyText"/>
      </w:pPr>
      <w:r>
        <w:t xml:space="preserve">Wilson Center. (2024).</w:t>
      </w:r>
      <w:r>
        <w:t xml:space="preserve"> </w:t>
      </w:r>
      <w:r>
        <w:rPr>
          <w:i/>
          <w:iCs/>
        </w:rPr>
        <w:t xml:space="preserve">Transnistria: Russia’s strategic foothold in Moldova</w:t>
      </w:r>
      <w:r>
        <w:t xml:space="preserve">. https://www.wilsoncenter.org/article/transnistria-russias-strategic-foothold-moldova</w:t>
      </w:r>
    </w:p>
    <w:p>
      <w:pPr>
        <w:pStyle w:val="BodyText"/>
      </w:pPr>
      <w:r>
        <w:t xml:space="preserve">Wilson Center. (2025).</w:t>
      </w:r>
      <w:r>
        <w:t xml:space="preserve"> </w:t>
      </w:r>
      <w:r>
        <w:rPr>
          <w:i/>
          <w:iCs/>
        </w:rPr>
        <w:t xml:space="preserve">Sabotage threats to Moldovan infrastructure</w:t>
      </w:r>
      <w:r>
        <w:t xml:space="preserve">. https://www.wilsoncenter.org/article/sabotage-threats-moldovan-infrastructure</w:t>
      </w:r>
    </w:p>
    <w:p>
      <w:pPr>
        <w:pStyle w:val="BodyText"/>
      </w:pPr>
      <w:r>
        <w:t xml:space="preserve">World Bank. (2024).</w:t>
      </w:r>
      <w:r>
        <w:t xml:space="preserve"> </w:t>
      </w:r>
      <w:r>
        <w:rPr>
          <w:i/>
          <w:iCs/>
        </w:rPr>
        <w:t xml:space="preserve">Moldova infrastructure assessment</w:t>
      </w:r>
      <w:r>
        <w:t xml:space="preserve">. https://documents.worldbank.org/en/publication/documents-reports/documentdetail/099032523145329136</w:t>
      </w:r>
    </w:p>
    <w:p>
      <w:pPr>
        <w:pStyle w:val="BodyText"/>
      </w:pPr>
      <w:r>
        <w:t xml:space="preserve">World Bank. (2025).</w:t>
      </w:r>
      <w:r>
        <w:t xml:space="preserve"> </w:t>
      </w:r>
      <w:r>
        <w:rPr>
          <w:i/>
          <w:iCs/>
        </w:rPr>
        <w:t xml:space="preserve">Railway modernization project</w:t>
      </w:r>
      <w:r>
        <w:t xml:space="preserve">. https://projects.worldbank.org/en/projects-operations/project-detail/P186789</w:t>
      </w:r>
    </w:p>
    <w:p>
      <w:pPr>
        <w:pStyle w:val="BodyText"/>
      </w:pPr>
      <w:r>
        <w:t xml:space="preserve">World Health Organization. (2024).</w:t>
      </w:r>
      <w:r>
        <w:t xml:space="preserve"> </w:t>
      </w:r>
      <w:r>
        <w:rPr>
          <w:i/>
          <w:iCs/>
        </w:rPr>
        <w:t xml:space="preserve">Moldova healthcare infrastructure</w:t>
      </w:r>
      <w:r>
        <w:t xml:space="preserve">. https://www.who.int/countries/moldova/health-infrastructure/</w:t>
      </w:r>
    </w:p>
    <w:p>
      <w:r>
        <w:pict>
          <v:rect style="width:0;height:1.5pt" o:hralign="center" o:hrstd="t" o:hr="t"/>
        </w:pict>
      </w:r>
    </w:p>
    <w:p>
      <w:pPr>
        <w:pStyle w:val="FirstParagraph"/>
      </w:pPr>
      <w:r>
        <w:rPr>
          <w:i/>
          <w:iCs/>
        </w:rPr>
        <w:t xml:space="preserve">This master document compiles all Moldova infrastructure vulnerability data from the ASCOPE-PMESII Excel sheet and associated .md files. All information is derived from open sources and expert analysis as of September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2025-09-19T14:10:14Z</dcterms:created>
  <dcterms:modified xsi:type="dcterms:W3CDTF">2025-09-19T14:10:14Z</dcterms:modified>
</cp:coreProperties>
</file>

<file path=docProps/custom.xml><?xml version="1.0" encoding="utf-8"?>
<Properties xmlns="http://schemas.openxmlformats.org/officeDocument/2006/custom-properties" xmlns:vt="http://schemas.openxmlformats.org/officeDocument/2006/docPropsVTypes"/>
</file>