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Services - fictional offer</w:t>
      </w:r>
    </w:p>
    <w:p>
      <w:r>
        <w:t>Common specification: support for critical incidents.</w:t>
      </w:r>
    </w:p>
    <w:p>
      <w:pPr>
        <w:pStyle w:val="Heading1"/>
      </w:pPr>
      <w:r>
        <w:t>Service level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Critical incidents</w:t>
            </w:r>
          </w:p>
        </w:tc>
        <w:tc>
          <w:tcPr>
            <w:tcW w:type="dxa" w:w="4320"/>
          </w:tcPr>
          <w:p>
            <w:r>
              <w:t>We guarantee a response within four hours for critical incidents.</w:t>
            </w:r>
          </w:p>
        </w:tc>
      </w:tr>
    </w:tbl>
    <w:p>
      <w:pPr>
        <w:pStyle w:val="Heading1"/>
      </w:pPr>
      <w:r>
        <w:t>Conditions and exceptions</w:t>
      </w:r>
    </w:p>
    <w:p>
      <w:r>
        <w:t>The guarantee applies 24 hours a day, including weekends.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