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South Services - fictional offer</w:t>
      </w:r>
    </w:p>
    <w:p>
      <w:r>
        <w:t>Common specification: support for critical incidents.</w:t>
      </w:r>
    </w:p>
    <w:p>
      <w:pPr>
        <w:pStyle w:val="Heading1"/>
      </w:pPr>
      <w:r>
        <w:t>Service level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Critical incidents</w:t>
            </w:r>
          </w:p>
        </w:tc>
        <w:tc>
          <w:tcPr>
            <w:tcW w:type="dxa" w:w="4320"/>
          </w:tcPr>
          <w:p>
            <w:r>
              <w:t>Target response time: four hours.</w:t>
            </w:r>
          </w:p>
        </w:tc>
      </w:tr>
    </w:tbl>
    <w:p>
      <w:pPr>
        <w:pStyle w:val="Heading1"/>
      </w:pPr>
      <w:r>
        <w:t>Conditions and exceptions</w:t>
      </w:r>
    </w:p>
    <w:p>
      <w:r>
        <w:t>There is no contractual four-hour response guarantee. Service operates on working days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