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093075">
          <w:r>
            <w:rPr>
              <w:noProof/>
              <w:lang w:eastAsia="sv-SE"/>
            </w:rPr>
            <w:pict>
              <v:rect id="_x0000_s1086" style="position:absolute;margin-left:39pt;margin-top:-153pt;width:453.4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293590637"/>
                        <w:dataBinding w:prefixMappings="xmlns:ns0='http://schemas.openxmlformats.org/package/2006/metadata/core-properties' xmlns:ns1='http://purl.org/dc/elements/1.1/'" w:xpath="/ns0:coreProperties[1]/ns1:title[1]" w:storeItemID="{6C3C8BC8-F283-45AE-878A-BAB7291924A1}"/>
                        <w:text/>
                      </w:sdtPr>
                      <w:sdtContent>
                        <w:p w:rsidR="005B1280" w:rsidRPr="00DE4CAB" w:rsidRDefault="00180DF8">
                          <w:pPr>
                            <w:spacing w:after="0"/>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 xml:space="preserve">Labbrapport-          </w:t>
                          </w:r>
                          <w:r w:rsidR="000654D3">
                            <w:rPr>
                              <w:rFonts w:ascii="Times New Roman" w:hAnsi="Times New Roman" w:cs="Times New Roman"/>
                              <w:b/>
                              <w:bCs/>
                              <w:color w:val="1F497D" w:themeColor="text2"/>
                              <w:sz w:val="72"/>
                              <w:szCs w:val="72"/>
                            </w:rPr>
                            <w:t>Studering av glykolys hos jästceller</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5B1280" w:rsidRPr="00DE4CAB" w:rsidRDefault="005B1280">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5B1280" w:rsidRPr="00DE4CAB" w:rsidRDefault="005B1280">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5B1280" w:rsidRDefault="005B1280">
                      <w:pPr>
                        <w:rPr>
                          <w:b/>
                          <w:bCs/>
                          <w:color w:val="808080" w:themeColor="text1" w:themeTint="7F"/>
                          <w:sz w:val="32"/>
                          <w:szCs w:val="32"/>
                        </w:rPr>
                      </w:pPr>
                    </w:p>
                    <w:p w:rsidR="005B1280" w:rsidRDefault="005B1280"/>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093075">
          <w:pPr>
            <w:rPr>
              <w:rFonts w:asciiTheme="majorHAnsi" w:eastAsiaTheme="majorEastAsia" w:hAnsiTheme="majorHAnsi" w:cstheme="majorBidi"/>
              <w:caps/>
            </w:rPr>
          </w:pPr>
          <w:r w:rsidRPr="00093075">
            <w:rPr>
              <w:rFonts w:ascii="Times New Roman" w:eastAsiaTheme="majorEastAsia" w:hAnsi="Times New Roman" w:cs="Times New Roman"/>
              <w:caps/>
              <w:noProof/>
              <w:lang w:eastAsia="sv-SE"/>
            </w:rPr>
            <w:pict>
              <v:rect id="_x0000_s1085" style="position:absolute;margin-left:259.85pt;margin-top:506.85pt;width:243.1pt;height:80.65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293590638"/>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5B1280" w:rsidRDefault="00180DF8">
                          <w:pPr>
                            <w:jc w:val="right"/>
                            <w:rPr>
                              <w:sz w:val="96"/>
                              <w:szCs w:val="96"/>
                            </w:rPr>
                          </w:pPr>
                          <w:r>
                            <w:rPr>
                              <w:rFonts w:ascii="Times New Roman" w:hAnsi="Times New Roman" w:cs="Times New Roman"/>
                              <w:sz w:val="96"/>
                              <w:szCs w:val="96"/>
                            </w:rPr>
                            <w:t>NN3</w:t>
                          </w:r>
                          <w:r w:rsidR="005B1280" w:rsidRPr="00DE4CAB">
                            <w:rPr>
                              <w:rFonts w:ascii="Times New Roman" w:hAnsi="Times New Roman" w:cs="Times New Roman"/>
                              <w:sz w:val="96"/>
                              <w:szCs w:val="96"/>
                            </w:rPr>
                            <w:t>a</w:t>
                          </w:r>
                        </w:p>
                      </w:sdtContent>
                    </w:sdt>
                  </w:txbxContent>
                </v:textbox>
                <w10:wrap anchorx="margin" anchory="margin"/>
              </v:rect>
            </w:pict>
          </w:r>
          <w:r w:rsidRPr="00093075">
            <w:rPr>
              <w:rFonts w:ascii="Times New Roman" w:eastAsiaTheme="majorEastAsia" w:hAnsi="Times New Roman" w:cs="Times New Roman"/>
              <w:caps/>
              <w:noProof/>
              <w:lang w:eastAsia="sv-SE"/>
            </w:rPr>
            <w:pict>
              <v:group id="_x0000_s1073" style="position:absolute;margin-left:-70.4pt;margin-top:417.8pt;width:595pt;height:252.2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0654D3">
        <w:rPr>
          <w:rFonts w:ascii="Times New Roman" w:hAnsi="Times New Roman" w:cs="Times New Roman"/>
          <w:sz w:val="44"/>
          <w:szCs w:val="44"/>
        </w:rPr>
        <w:t>Studering av glykolys hos jästceller</w:t>
      </w:r>
    </w:p>
    <w:p w:rsidR="0011755C" w:rsidRPr="00853240" w:rsidRDefault="0011755C" w:rsidP="0011755C">
      <w:pPr>
        <w:rPr>
          <w:rFonts w:ascii="Times New Roman" w:hAnsi="Times New Roman" w:cs="Times New Roman"/>
          <w:sz w:val="24"/>
          <w:szCs w:val="24"/>
        </w:rPr>
      </w:pPr>
    </w:p>
    <w:p w:rsidR="0011755C"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7A6A75" w:rsidRPr="00E84525" w:rsidRDefault="00E84525" w:rsidP="004C4118">
      <w:pPr>
        <w:rPr>
          <w:rFonts w:ascii="Times New Roman" w:hAnsi="Times New Roman" w:cs="Times New Roman"/>
        </w:rPr>
      </w:pPr>
      <w:r w:rsidRPr="00E84525">
        <w:rPr>
          <w:rFonts w:ascii="Times New Roman" w:hAnsi="Times New Roman" w:cs="Times New Roman"/>
        </w:rPr>
        <w:t>I denna</w:t>
      </w:r>
      <w:r>
        <w:rPr>
          <w:rFonts w:ascii="Times New Roman" w:hAnsi="Times New Roman" w:cs="Times New Roman"/>
        </w:rPr>
        <w:t xml:space="preserve"> laboration </w:t>
      </w:r>
      <w:r w:rsidR="008A085E">
        <w:rPr>
          <w:rFonts w:ascii="Times New Roman" w:hAnsi="Times New Roman" w:cs="Times New Roman"/>
        </w:rPr>
        <w:t xml:space="preserve">studerades anaerob glykolys hos jästceller. </w:t>
      </w:r>
    </w:p>
    <w:p w:rsidR="003C3B5E" w:rsidRDefault="00DE4CAB" w:rsidP="00296D9B">
      <w:pPr>
        <w:pStyle w:val="Rubrik1"/>
        <w:rPr>
          <w:rFonts w:ascii="Times New Roman" w:hAnsi="Times New Roman" w:cs="Times New Roman"/>
        </w:rPr>
      </w:pPr>
      <w:r w:rsidRPr="00DE4CAB">
        <w:rPr>
          <w:rFonts w:ascii="Times New Roman" w:hAnsi="Times New Roman" w:cs="Times New Roman"/>
        </w:rPr>
        <w:t>Introduktion</w:t>
      </w:r>
    </w:p>
    <w:p w:rsidR="00544B7C" w:rsidRDefault="008A085E" w:rsidP="006659AE">
      <w:pPr>
        <w:rPr>
          <w:rFonts w:ascii="Times New Roman" w:hAnsi="Times New Roman" w:cs="Times New Roman"/>
          <w:sz w:val="24"/>
          <w:szCs w:val="24"/>
        </w:rPr>
      </w:pPr>
      <w:r>
        <w:rPr>
          <w:rFonts w:ascii="Times New Roman" w:hAnsi="Times New Roman" w:cs="Times New Roman"/>
          <w:sz w:val="24"/>
          <w:szCs w:val="24"/>
        </w:rPr>
        <w:t xml:space="preserve">Att immobilisera ett enzym eller en cell är att göra det orörligt. Du kan förena enzymet eller cellen med ett bärarmaterial som då gör så att cellen förlorar sin rörelsefrihet. </w:t>
      </w:r>
      <w:r w:rsidR="007F3DC4">
        <w:rPr>
          <w:rFonts w:ascii="Times New Roman" w:hAnsi="Times New Roman" w:cs="Times New Roman"/>
          <w:sz w:val="24"/>
          <w:szCs w:val="24"/>
        </w:rPr>
        <w:t xml:space="preserve">Det finns flera sätt att binda fast enxymer eller mikroorganismer till ett bärarmaterial. </w:t>
      </w:r>
      <w:r>
        <w:rPr>
          <w:rFonts w:ascii="Times New Roman" w:hAnsi="Times New Roman" w:cs="Times New Roman"/>
          <w:sz w:val="24"/>
          <w:szCs w:val="24"/>
        </w:rPr>
        <w:t>En av metoderna går ut på att man fångar in biokatalysatorer i ett nätverk av poly</w:t>
      </w:r>
      <w:r w:rsidR="007F3DC4">
        <w:rPr>
          <w:rFonts w:ascii="Times New Roman" w:hAnsi="Times New Roman" w:cs="Times New Roman"/>
          <w:sz w:val="24"/>
          <w:szCs w:val="24"/>
        </w:rPr>
        <w:t>merkedjor. I den här laborationen användes en immobiliseringsmetod där man immobiliserar jäst cellerna i en kalciumalginatstruktur. Detta är en mild immobiliseringsmetod som bibehåller jästcellerna levande, vilket är nödvändigt då vi ska studera glykolysen hos dessa.</w:t>
      </w:r>
      <w:r w:rsidR="007F3DC4">
        <w:rPr>
          <w:rFonts w:ascii="Times New Roman" w:hAnsi="Times New Roman" w:cs="Times New Roman"/>
          <w:sz w:val="24"/>
          <w:szCs w:val="24"/>
        </w:rPr>
        <w:br/>
        <w:t>En annan metod är genom absorption till en bärare, till exempel genom att en positivt laddad enzymmolekyl binder till en negativt ladda</w:t>
      </w:r>
      <w:r w:rsidR="006659AE">
        <w:rPr>
          <w:rFonts w:ascii="Times New Roman" w:hAnsi="Times New Roman" w:cs="Times New Roman"/>
          <w:sz w:val="24"/>
          <w:szCs w:val="24"/>
        </w:rPr>
        <w:t xml:space="preserve">d bärare. Det kan också ske genom kemiska bindningar till bäraren, kemiska tvärbidningar eller infångning i mikrokapslar. </w:t>
      </w:r>
    </w:p>
    <w:p w:rsidR="006659AE" w:rsidRDefault="007068E1" w:rsidP="006659AE">
      <w:pPr>
        <w:rPr>
          <w:rFonts w:ascii="Times New Roman" w:hAnsi="Times New Roman" w:cs="Times New Roman"/>
          <w:sz w:val="24"/>
          <w:szCs w:val="24"/>
        </w:rPr>
      </w:pPr>
      <w:r>
        <w:rPr>
          <w:rFonts w:ascii="Times New Roman" w:hAnsi="Times New Roman" w:cs="Times New Roman"/>
          <w:sz w:val="24"/>
          <w:szCs w:val="24"/>
        </w:rPr>
        <w:t xml:space="preserve">Immobilisering används i flera biotekniska sammanhang till exempel vid framställning av invertsocker eller vid snabbvinägerprocessen. Men immobilisering sker även ute i naturen, det är särskilt vanligt hos bakterier och svampar som binder in till något bärarmaterial eller när det skapas bakterietillväxt på tändernas ytor. </w:t>
      </w:r>
      <w:r w:rsidR="00B858EB">
        <w:rPr>
          <w:rFonts w:ascii="Times New Roman" w:hAnsi="Times New Roman" w:cs="Times New Roman"/>
          <w:sz w:val="24"/>
          <w:szCs w:val="24"/>
        </w:rPr>
        <w:t xml:space="preserve"> Av bland annat ekonomiska skäl vill man återanvända enzymer efter en process för att då lättare kunna skilja enzymerna från slutprodukten kan man immobilisera enzymerna, tacke vare bärarmaterialet storlek kan du filtrera ut enzymerna enklare. På grund av de immobiliserade enzymernas stora storlek blir de mycket enklare att hantera i biotekniska sammanhang. </w:t>
      </w:r>
      <w:r w:rsidR="00B858EB">
        <w:rPr>
          <w:rFonts w:ascii="Times New Roman" w:hAnsi="Times New Roman" w:cs="Times New Roman"/>
          <w:sz w:val="24"/>
          <w:szCs w:val="24"/>
        </w:rPr>
        <w:br/>
        <w:t>Att imobilisera medför dessa fördelar: Kan lättare avskiljas och hanteras, de kan lättare återanvändas, förenklar processkontrollen hos kontinuerliga reaktioner, bärarmaterialet kan stabilisera och skydda biokatalysatorerna från omgivningen och eftersom de är inbakade i bärarmaterialet förorenar de inte slutprodukten.</w:t>
      </w:r>
      <w:r w:rsidR="007F3DC4">
        <w:rPr>
          <w:rFonts w:ascii="Times New Roman" w:hAnsi="Times New Roman" w:cs="Times New Roman"/>
          <w:sz w:val="24"/>
          <w:szCs w:val="24"/>
        </w:rPr>
        <w:t xml:space="preserve"> Immobiliserade celler eller enzymer tillåter på så sätt billigare och effektivare tekniker.</w:t>
      </w:r>
    </w:p>
    <w:p w:rsidR="006659AE" w:rsidRDefault="006659AE" w:rsidP="006659AE">
      <w:pPr>
        <w:rPr>
          <w:rFonts w:ascii="Times New Roman" w:hAnsi="Times New Roman" w:cs="Times New Roman"/>
          <w:sz w:val="24"/>
          <w:szCs w:val="24"/>
        </w:rPr>
      </w:pPr>
    </w:p>
    <w:p w:rsidR="006C613A" w:rsidRPr="006659AE" w:rsidRDefault="006C613A" w:rsidP="006659AE">
      <w:pPr>
        <w:rPr>
          <w:rFonts w:ascii="Times New Roman" w:hAnsi="Times New Roman" w:cs="Times New Roman"/>
          <w:sz w:val="24"/>
          <w:szCs w:val="24"/>
        </w:rPr>
      </w:pPr>
    </w:p>
    <w:p w:rsidR="008D52E3" w:rsidRPr="00E53D9D" w:rsidRDefault="008D52E3" w:rsidP="008D52E3">
      <w:pPr>
        <w:rPr>
          <w:rFonts w:ascii="Times New Roman" w:hAnsi="Times New Roman" w:cs="Times New Roman"/>
        </w:rPr>
      </w:pPr>
      <w:r>
        <w:rPr>
          <w:rFonts w:ascii="Times New Roman" w:hAnsi="Times New Roman" w:cs="Times New Roman"/>
        </w:rPr>
        <w:t xml:space="preserve">När metabolismen sker i en anaerob miljö kan det pyruvat som bildas i glykolysen inte gå in i citronsyracykeln. För att fortsätta få ut ATP ur glykolysen behövs det NADH som bildades under den tidigare processen kunna återanvändas som NAD. Djur reducerar pyruvatet till laktat och NADH oxideras till NAD som kan återgå till Glykolysen. Jästceller däremot </w:t>
      </w:r>
    </w:p>
    <w:p w:rsidR="008D52E3" w:rsidRPr="008D52E3" w:rsidRDefault="008D52E3" w:rsidP="008D52E3">
      <w:pPr>
        <w:rPr>
          <w:rFonts w:ascii="Times New Roman" w:hAnsi="Times New Roman" w:cs="Times New Roman"/>
        </w:rPr>
      </w:pPr>
      <w:r>
        <w:rPr>
          <w:rFonts w:ascii="Times New Roman" w:hAnsi="Times New Roman" w:cs="Times New Roman"/>
        </w:rPr>
        <w:lastRenderedPageBreak/>
        <w:t>När metabolismen sker i en anaerob miljö kan det pyruvat som bildas i glykolysen inte gå in i citronsyracykeln då detta är en aerob</w:t>
      </w:r>
      <w:r w:rsidR="00E251BA">
        <w:rPr>
          <w:rFonts w:ascii="Times New Roman" w:hAnsi="Times New Roman" w:cs="Times New Roman"/>
        </w:rPr>
        <w:t xml:space="preserve"> </w:t>
      </w:r>
      <w:r>
        <w:rPr>
          <w:rFonts w:ascii="Times New Roman" w:hAnsi="Times New Roman" w:cs="Times New Roman"/>
        </w:rPr>
        <w:t xml:space="preserve">process. För att fortsätta få ut ATP ur glykolysen behövs det NADH som bildades under den tidigare processen kunna återanvändas som NAD. Djur reducerar pyruvatet till laktat och NADH oxideras till NAD som kan återgå till Glykolysen. Jästceller däremot dekarboxylerar pyruvat till acetaldehyd som i sin tur reduceras av NADh och bildar då etanol och NAD, enligt bilden nedan. </w:t>
      </w:r>
    </w:p>
    <w:p w:rsidR="00B52E49" w:rsidRDefault="00E53D9D" w:rsidP="00E53D9D">
      <w:pPr>
        <w:pStyle w:val="Rubrik3"/>
      </w:pPr>
      <w:r>
        <w:t>Bild 1</w:t>
      </w:r>
    </w:p>
    <w:p w:rsidR="00E53D9D" w:rsidRDefault="00E53D9D" w:rsidP="008D52E3">
      <w:pPr>
        <w:jc w:val="center"/>
        <w:rPr>
          <w:rFonts w:ascii="Times New Roman" w:hAnsi="Times New Roman" w:cs="Times New Roman"/>
        </w:rPr>
      </w:pPr>
      <w:r>
        <w:rPr>
          <w:noProof/>
          <w:lang w:eastAsia="sv-SE"/>
        </w:rPr>
        <w:drawing>
          <wp:inline distT="0" distB="0" distL="0" distR="0">
            <wp:extent cx="4371975" cy="1428179"/>
            <wp:effectExtent l="19050" t="0" r="9525" b="0"/>
            <wp:docPr id="1" name="Bild 1" descr="File:Pyruvate decar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yruvate decarb 1.jpg"/>
                    <pic:cNvPicPr>
                      <a:picLocks noChangeAspect="1" noChangeArrowheads="1"/>
                    </pic:cNvPicPr>
                  </pic:nvPicPr>
                  <pic:blipFill>
                    <a:blip r:embed="rId12" cstate="print"/>
                    <a:srcRect/>
                    <a:stretch>
                      <a:fillRect/>
                    </a:stretch>
                  </pic:blipFill>
                  <pic:spPr bwMode="auto">
                    <a:xfrm>
                      <a:off x="0" y="0"/>
                      <a:ext cx="4376910" cy="1429791"/>
                    </a:xfrm>
                    <a:prstGeom prst="rect">
                      <a:avLst/>
                    </a:prstGeom>
                    <a:noFill/>
                    <a:ln w="9525">
                      <a:noFill/>
                      <a:miter lim="800000"/>
                      <a:headEnd/>
                      <a:tailEnd/>
                    </a:ln>
                  </pic:spPr>
                </pic:pic>
              </a:graphicData>
            </a:graphic>
          </wp:inline>
        </w:drawing>
      </w:r>
      <w:r>
        <w:br/>
      </w:r>
      <w:r>
        <w:rPr>
          <w:rFonts w:ascii="Times New Roman" w:hAnsi="Times New Roman" w:cs="Times New Roman"/>
        </w:rPr>
        <w:t xml:space="preserve">Bild 1: Omvandling av pyrodruvsyra till etanol vid anerob metabolism. </w:t>
      </w:r>
    </w:p>
    <w:p w:rsidR="008D52E3" w:rsidRDefault="008D52E3" w:rsidP="008D52E3">
      <w:pPr>
        <w:rPr>
          <w:rFonts w:ascii="Times New Roman" w:hAnsi="Times New Roman" w:cs="Times New Roman"/>
        </w:rPr>
      </w:pPr>
      <w:r>
        <w:rPr>
          <w:rFonts w:ascii="Times New Roman" w:hAnsi="Times New Roman" w:cs="Times New Roman"/>
        </w:rPr>
        <w:t>Det NAD som återbildades från pyruvatet kan nu gå in i glykolysen och återanvändas.</w:t>
      </w:r>
    </w:p>
    <w:p w:rsidR="008C4E40" w:rsidRDefault="008C4E40" w:rsidP="008C4E40">
      <w:pPr>
        <w:pStyle w:val="Rubrik3"/>
      </w:pPr>
      <w:r>
        <w:t>Bild 2:</w:t>
      </w:r>
    </w:p>
    <w:p w:rsidR="008D52E3" w:rsidRDefault="008C4E40" w:rsidP="008D52E3">
      <w:pPr>
        <w:jc w:val="center"/>
      </w:pPr>
      <w:r>
        <w:rPr>
          <w:rFonts w:ascii="Times New Roman" w:hAnsi="Times New Roman" w:cs="Times New Roman"/>
          <w:noProof/>
          <w:u w:val="single"/>
          <w:lang w:eastAsia="sv-SE"/>
        </w:rPr>
        <w:pict>
          <v:shapetype id="_x0000_t202" coordsize="21600,21600" o:spt="202" path="m,l,21600r21600,l21600,xe">
            <v:stroke joinstyle="miter"/>
            <v:path gradientshapeok="t" o:connecttype="rect"/>
          </v:shapetype>
          <v:shape id="_x0000_s1093" type="#_x0000_t202" style="position:absolute;left:0;text-align:left;margin-left:304.15pt;margin-top:27.55pt;width:36.8pt;height:23.25pt;z-index:251669504;mso-width-relative:margin;mso-height-relative:margin" stroked="f">
            <v:textbox>
              <w:txbxContent>
                <w:p w:rsidR="008C4E40" w:rsidRPr="008C4E40" w:rsidRDefault="008C4E40" w:rsidP="008C4E40">
                  <w:pPr>
                    <w:rPr>
                      <w:vertAlign w:val="subscript"/>
                    </w:rPr>
                  </w:pPr>
                  <w:r>
                    <w:t>ATP</w:t>
                  </w:r>
                </w:p>
              </w:txbxContent>
            </v:textbox>
          </v:shape>
        </w:pict>
      </w:r>
      <w:r>
        <w:rPr>
          <w:rFonts w:ascii="Times New Roman" w:hAnsi="Times New Roman" w:cs="Times New Roman"/>
          <w:noProof/>
          <w:u w:val="single"/>
          <w:lang w:eastAsia="sv-SE"/>
        </w:rPr>
        <w:pict>
          <v:shape id="_x0000_s1092" type="#_x0000_t202" style="position:absolute;left:0;text-align:left;margin-left:265.4pt;margin-top:27.55pt;width:38.75pt;height:23.25pt;z-index:251668480;mso-width-relative:margin;mso-height-relative:margin" stroked="f">
            <v:textbox>
              <w:txbxContent>
                <w:p w:rsidR="008C4E40" w:rsidRPr="008C4E40" w:rsidRDefault="008C4E40" w:rsidP="008C4E40">
                  <w:pPr>
                    <w:rPr>
                      <w:vertAlign w:val="subscript"/>
                    </w:rPr>
                  </w:pPr>
                  <w:r>
                    <w:t>ADP</w:t>
                  </w:r>
                </w:p>
              </w:txbxContent>
            </v:textbox>
          </v:shape>
        </w:pict>
      </w:r>
      <w:r>
        <w:rPr>
          <w:rFonts w:ascii="Times New Roman" w:hAnsi="Times New Roman" w:cs="Times New Roman"/>
          <w:noProof/>
          <w:u w:val="single"/>
          <w:lang w:eastAsia="sv-SE"/>
        </w:rPr>
        <w:pict>
          <v:shape id="_x0000_s1091" type="#_x0000_t202" style="position:absolute;left:0;text-align:left;margin-left:157.9pt;margin-top:34.85pt;width:42.8pt;height:23.25pt;z-index:251667456;mso-width-relative:margin;mso-height-relative:margin" stroked="f">
            <v:textbox>
              <w:txbxContent>
                <w:p w:rsidR="008C4E40" w:rsidRPr="008C4E40" w:rsidRDefault="008C4E40" w:rsidP="008C4E40">
                  <w:pPr>
                    <w:rPr>
                      <w:vertAlign w:val="subscript"/>
                    </w:rPr>
                  </w:pPr>
                  <w:r>
                    <w:t>NADH</w:t>
                  </w:r>
                </w:p>
              </w:txbxContent>
            </v:textbox>
          </v:shape>
        </w:pict>
      </w:r>
      <w:r w:rsidRPr="008C4E40">
        <w:rPr>
          <w:rFonts w:ascii="Times New Roman" w:hAnsi="Times New Roman" w:cs="Times New Roman"/>
          <w:noProof/>
          <w:u w:val="single"/>
        </w:rPr>
        <w:pict>
          <v:shape id="_x0000_s1090" type="#_x0000_t202" style="position:absolute;left:0;text-align:left;margin-left:108.35pt;margin-top:27.55pt;width:54.8pt;height:23.25pt;z-index:251666432;mso-width-relative:margin;mso-height-relative:margin" stroked="f">
            <v:textbox>
              <w:txbxContent>
                <w:p w:rsidR="008C4E40" w:rsidRPr="008C4E40" w:rsidRDefault="008C4E40">
                  <w:pPr>
                    <w:rPr>
                      <w:vertAlign w:val="subscript"/>
                    </w:rPr>
                  </w:pPr>
                  <w:r>
                    <w:t>NAD+ P</w:t>
                  </w:r>
                  <w:r>
                    <w:rPr>
                      <w:vertAlign w:val="subscript"/>
                    </w:rPr>
                    <w:t>i</w:t>
                  </w:r>
                </w:p>
              </w:txbxContent>
            </v:textbox>
          </v:shape>
        </w:pict>
      </w:r>
      <w:r w:rsidR="008D52E3">
        <w:rPr>
          <w:noProof/>
          <w:lang w:eastAsia="sv-SE"/>
        </w:rPr>
        <w:drawing>
          <wp:inline distT="0" distB="0" distL="0" distR="0">
            <wp:extent cx="923925" cy="1396387"/>
            <wp:effectExtent l="19050" t="0" r="9525" b="0"/>
            <wp:docPr id="4" name="Bild 4" descr="File:D-glyceraldehyde-3-phosphate wp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glyceraldehyde-3-phosphate wpmp.png"/>
                    <pic:cNvPicPr>
                      <a:picLocks noChangeAspect="1" noChangeArrowheads="1"/>
                    </pic:cNvPicPr>
                  </pic:nvPicPr>
                  <pic:blipFill>
                    <a:blip r:embed="rId13" cstate="print"/>
                    <a:srcRect/>
                    <a:stretch>
                      <a:fillRect/>
                    </a:stretch>
                  </pic:blipFill>
                  <pic:spPr bwMode="auto">
                    <a:xfrm>
                      <a:off x="0" y="0"/>
                      <a:ext cx="923925" cy="1396387"/>
                    </a:xfrm>
                    <a:prstGeom prst="rect">
                      <a:avLst/>
                    </a:prstGeom>
                    <a:noFill/>
                    <a:ln w="9525">
                      <a:noFill/>
                      <a:miter lim="800000"/>
                      <a:headEnd/>
                      <a:tailEnd/>
                    </a:ln>
                  </pic:spPr>
                </pic:pic>
              </a:graphicData>
            </a:graphic>
          </wp:inline>
        </w:drawing>
      </w:r>
      <w:r w:rsidR="008D52E3">
        <w:rPr>
          <w:noProof/>
          <w:lang w:eastAsia="sv-SE"/>
        </w:rPr>
        <w:drawing>
          <wp:inline distT="0" distB="0" distL="0" distR="0">
            <wp:extent cx="942975" cy="857250"/>
            <wp:effectExtent l="19050" t="0" r="9525" b="0"/>
            <wp:docPr id="7" name="Bild 7" descr="File:Biochem reaction arrow reversible YYYY horiz 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Biochem reaction arrow reversible YYYY horiz med.png"/>
                    <pic:cNvPicPr>
                      <a:picLocks noChangeAspect="1" noChangeArrowheads="1"/>
                    </pic:cNvPicPr>
                  </pic:nvPicPr>
                  <pic:blipFill>
                    <a:blip r:embed="rId14" cstate="print"/>
                    <a:srcRect/>
                    <a:stretch>
                      <a:fillRect/>
                    </a:stretch>
                  </pic:blipFill>
                  <pic:spPr bwMode="auto">
                    <a:xfrm>
                      <a:off x="0" y="0"/>
                      <a:ext cx="942975" cy="857250"/>
                    </a:xfrm>
                    <a:prstGeom prst="rect">
                      <a:avLst/>
                    </a:prstGeom>
                    <a:noFill/>
                    <a:ln w="9525">
                      <a:noFill/>
                      <a:miter lim="800000"/>
                      <a:headEnd/>
                      <a:tailEnd/>
                    </a:ln>
                  </pic:spPr>
                </pic:pic>
              </a:graphicData>
            </a:graphic>
          </wp:inline>
        </w:drawing>
      </w:r>
      <w:r w:rsidR="008D52E3">
        <w:rPr>
          <w:noProof/>
          <w:lang w:eastAsia="sv-SE"/>
        </w:rPr>
        <w:drawing>
          <wp:inline distT="0" distB="0" distL="0" distR="0">
            <wp:extent cx="866775" cy="1546140"/>
            <wp:effectExtent l="0" t="0" r="9525" b="0"/>
            <wp:docPr id="10" name="Bild 10" descr="File:1,3-bisphospho-D-glycera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1,3-bisphospho-D-glycerate.svg"/>
                    <pic:cNvPicPr>
                      <a:picLocks noChangeAspect="1" noChangeArrowheads="1"/>
                    </pic:cNvPicPr>
                  </pic:nvPicPr>
                  <pic:blipFill>
                    <a:blip r:embed="rId15" cstate="print"/>
                    <a:srcRect/>
                    <a:stretch>
                      <a:fillRect/>
                    </a:stretch>
                  </pic:blipFill>
                  <pic:spPr bwMode="auto">
                    <a:xfrm>
                      <a:off x="0" y="0"/>
                      <a:ext cx="866775" cy="1546140"/>
                    </a:xfrm>
                    <a:prstGeom prst="rect">
                      <a:avLst/>
                    </a:prstGeom>
                    <a:noFill/>
                    <a:ln w="9525">
                      <a:noFill/>
                      <a:miter lim="800000"/>
                      <a:headEnd/>
                      <a:tailEnd/>
                    </a:ln>
                  </pic:spPr>
                </pic:pic>
              </a:graphicData>
            </a:graphic>
          </wp:inline>
        </w:drawing>
      </w:r>
      <w:r w:rsidRPr="008C4E40">
        <w:t xml:space="preserve"> </w:t>
      </w:r>
      <w:r>
        <w:rPr>
          <w:noProof/>
          <w:lang w:eastAsia="sv-SE"/>
        </w:rPr>
        <w:drawing>
          <wp:inline distT="0" distB="0" distL="0" distR="0">
            <wp:extent cx="866775" cy="866775"/>
            <wp:effectExtent l="19050" t="0" r="9525" b="0"/>
            <wp:docPr id="13" name="Bild 13" descr="File:Biochem reaction arrow reversible YYYY horiz 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Biochem reaction arrow reversible YYYY horiz med.png"/>
                    <pic:cNvPicPr>
                      <a:picLocks noChangeAspect="1" noChangeArrowheads="1"/>
                    </pic:cNvPicPr>
                  </pic:nvPicPr>
                  <pic:blipFill>
                    <a:blip r:embed="rId14" cstate="print"/>
                    <a:srcRect/>
                    <a:stretch>
                      <a:fillRect/>
                    </a:stretch>
                  </pic:blipFill>
                  <pic:spPr bwMode="auto">
                    <a:xfrm>
                      <a:off x="0" y="0"/>
                      <a:ext cx="866775" cy="866775"/>
                    </a:xfrm>
                    <a:prstGeom prst="rect">
                      <a:avLst/>
                    </a:prstGeom>
                    <a:noFill/>
                    <a:ln w="9525">
                      <a:noFill/>
                      <a:miter lim="800000"/>
                      <a:headEnd/>
                      <a:tailEnd/>
                    </a:ln>
                  </pic:spPr>
                </pic:pic>
              </a:graphicData>
            </a:graphic>
          </wp:inline>
        </w:drawing>
      </w:r>
      <w:r w:rsidRPr="008C4E40">
        <w:t xml:space="preserve"> </w:t>
      </w:r>
      <w:r>
        <w:rPr>
          <w:noProof/>
          <w:lang w:eastAsia="sv-SE"/>
        </w:rPr>
        <w:drawing>
          <wp:inline distT="0" distB="0" distL="0" distR="0">
            <wp:extent cx="828675" cy="1581150"/>
            <wp:effectExtent l="19050" t="0" r="9525" b="0"/>
            <wp:docPr id="16" name="Bild 16" descr="File:3-phospho-D-glycerate trulyglycerate wp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3-phospho-D-glycerate trulyglycerate wpmp.png"/>
                    <pic:cNvPicPr>
                      <a:picLocks noChangeAspect="1" noChangeArrowheads="1"/>
                    </pic:cNvPicPr>
                  </pic:nvPicPr>
                  <pic:blipFill>
                    <a:blip r:embed="rId16" cstate="print"/>
                    <a:srcRect/>
                    <a:stretch>
                      <a:fillRect/>
                    </a:stretch>
                  </pic:blipFill>
                  <pic:spPr bwMode="auto">
                    <a:xfrm>
                      <a:off x="0" y="0"/>
                      <a:ext cx="828675" cy="1581150"/>
                    </a:xfrm>
                    <a:prstGeom prst="rect">
                      <a:avLst/>
                    </a:prstGeom>
                    <a:noFill/>
                    <a:ln w="9525">
                      <a:noFill/>
                      <a:miter lim="800000"/>
                      <a:headEnd/>
                      <a:tailEnd/>
                    </a:ln>
                  </pic:spPr>
                </pic:pic>
              </a:graphicData>
            </a:graphic>
          </wp:inline>
        </w:drawing>
      </w:r>
    </w:p>
    <w:p w:rsidR="008C4E40" w:rsidRDefault="008C4E40" w:rsidP="008D52E3">
      <w:pPr>
        <w:jc w:val="center"/>
        <w:rPr>
          <w:rFonts w:ascii="Times New Roman" w:hAnsi="Times New Roman" w:cs="Times New Roman"/>
        </w:rPr>
      </w:pPr>
      <w:r>
        <w:rPr>
          <w:rFonts w:ascii="Times New Roman" w:hAnsi="Times New Roman" w:cs="Times New Roman"/>
        </w:rPr>
        <w:t>Bild 2: Det återbildade NAD kan nu reagera med Glyceraldehyd-3-fosfat och bilda 1,3-difosfolycerat som i sin tur kan reagera med ADP och bilda 3-fosfoglycerat och ATP.</w:t>
      </w:r>
    </w:p>
    <w:p w:rsidR="008C4E40" w:rsidRDefault="008C4E40" w:rsidP="008D52E3">
      <w:pPr>
        <w:jc w:val="center"/>
        <w:rPr>
          <w:rFonts w:ascii="Times New Roman" w:hAnsi="Times New Roman" w:cs="Times New Roman"/>
        </w:rPr>
      </w:pPr>
    </w:p>
    <w:p w:rsidR="008C4E40" w:rsidRDefault="008C4E40" w:rsidP="0011755C">
      <w:pPr>
        <w:pStyle w:val="Rubrik1"/>
        <w:rPr>
          <w:rFonts w:ascii="Times New Roman" w:hAnsi="Times New Roman" w:cs="Times New Roman"/>
          <w:u w:val="single"/>
        </w:rPr>
      </w:pPr>
    </w:p>
    <w:p w:rsidR="008C4E40" w:rsidRDefault="008C4E40" w:rsidP="0011755C">
      <w:pPr>
        <w:pStyle w:val="Rubrik1"/>
        <w:rPr>
          <w:rFonts w:ascii="Times New Roman" w:hAnsi="Times New Roman" w:cs="Times New Roman"/>
          <w:u w:val="single"/>
        </w:rPr>
      </w:pPr>
    </w:p>
    <w:p w:rsidR="008C4E40" w:rsidRDefault="008C4E40" w:rsidP="0011755C">
      <w:pPr>
        <w:pStyle w:val="Rubrik1"/>
        <w:rPr>
          <w:rFonts w:ascii="Times New Roman" w:hAnsi="Times New Roman" w:cs="Times New Roman"/>
          <w:u w:val="single"/>
        </w:rPr>
      </w:pPr>
    </w:p>
    <w:p w:rsidR="008C4E40" w:rsidRPr="008C4E40" w:rsidRDefault="008C4E40" w:rsidP="008C4E40"/>
    <w:p w:rsidR="0011755C" w:rsidRDefault="0011755C" w:rsidP="0011755C">
      <w:pPr>
        <w:pStyle w:val="Rubrik1"/>
        <w:rPr>
          <w:rFonts w:ascii="Times New Roman" w:hAnsi="Times New Roman" w:cs="Times New Roman"/>
          <w:u w:val="single"/>
        </w:rPr>
      </w:pPr>
      <w:r w:rsidRPr="00D8697F">
        <w:rPr>
          <w:rFonts w:ascii="Times New Roman" w:hAnsi="Times New Roman" w:cs="Times New Roman"/>
          <w:u w:val="single"/>
        </w:rPr>
        <w:lastRenderedPageBreak/>
        <w:t>Resultat:</w:t>
      </w:r>
    </w:p>
    <w:p w:rsidR="00544B7C" w:rsidRDefault="00544B7C" w:rsidP="00544B7C">
      <w:pPr>
        <w:pStyle w:val="Liststycke"/>
        <w:numPr>
          <w:ilvl w:val="0"/>
          <w:numId w:val="11"/>
        </w:numPr>
        <w:rPr>
          <w:rFonts w:ascii="Times New Roman" w:hAnsi="Times New Roman" w:cs="Times New Roman"/>
          <w:sz w:val="24"/>
          <w:szCs w:val="24"/>
        </w:rPr>
      </w:pPr>
      <w:r w:rsidRPr="00544B7C">
        <w:rPr>
          <w:rFonts w:ascii="Times New Roman" w:hAnsi="Times New Roman" w:cs="Times New Roman"/>
          <w:sz w:val="24"/>
          <w:szCs w:val="24"/>
        </w:rPr>
        <w:t>Clinistix-stickan gav ett positivt resultat för glukos.</w:t>
      </w:r>
    </w:p>
    <w:p w:rsidR="00544B7C" w:rsidRPr="00544B7C" w:rsidRDefault="00544B7C" w:rsidP="00544B7C">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 xml:space="preserve">Alkoholteströret gav också ett positivt resultat för etanol. </w:t>
      </w:r>
    </w:p>
    <w:p w:rsidR="00544B7C" w:rsidRPr="00544B7C" w:rsidRDefault="00544B7C" w:rsidP="00544B7C">
      <w:pPr>
        <w:rPr>
          <w:rFonts w:ascii="Times New Roman" w:hAnsi="Times New Roman" w:cs="Times New Roman"/>
          <w:sz w:val="24"/>
          <w:szCs w:val="24"/>
        </w:rPr>
      </w:pPr>
    </w:p>
    <w:p w:rsidR="008C4E40" w:rsidRDefault="008C4E40" w:rsidP="0011755C">
      <w:pPr>
        <w:pStyle w:val="Rubrik1"/>
        <w:rPr>
          <w:rFonts w:ascii="Times New Roman" w:hAnsi="Times New Roman" w:cs="Times New Roman"/>
        </w:rPr>
      </w:pP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t>Diskussion:</w:t>
      </w:r>
    </w:p>
    <w:p w:rsidR="00544B7C" w:rsidRDefault="00A61659" w:rsidP="008C4E40">
      <w:pPr>
        <w:rPr>
          <w:rFonts w:ascii="Times New Roman" w:hAnsi="Times New Roman" w:cs="Times New Roman"/>
          <w:sz w:val="24"/>
          <w:szCs w:val="24"/>
        </w:rPr>
      </w:pPr>
      <w:r>
        <w:rPr>
          <w:rFonts w:ascii="Times New Roman" w:hAnsi="Times New Roman" w:cs="Times New Roman"/>
          <w:sz w:val="24"/>
          <w:szCs w:val="24"/>
        </w:rPr>
        <w:t>1.</w:t>
      </w:r>
      <w:r w:rsidR="008C4E40">
        <w:rPr>
          <w:rFonts w:ascii="Times New Roman" w:hAnsi="Times New Roman" w:cs="Times New Roman"/>
          <w:sz w:val="24"/>
          <w:szCs w:val="24"/>
        </w:rPr>
        <w:t>Då glukos resultatet var positivt vet vi att jästcellerna har omvandlat det tillsatte sackaroset till glukos, för att detta ska kunna användas i g</w:t>
      </w:r>
      <w:r>
        <w:rPr>
          <w:rFonts w:ascii="Times New Roman" w:hAnsi="Times New Roman" w:cs="Times New Roman"/>
          <w:sz w:val="24"/>
          <w:szCs w:val="24"/>
        </w:rPr>
        <w:t>l</w:t>
      </w:r>
      <w:r w:rsidR="008C4E40">
        <w:rPr>
          <w:rFonts w:ascii="Times New Roman" w:hAnsi="Times New Roman" w:cs="Times New Roman"/>
          <w:sz w:val="24"/>
          <w:szCs w:val="24"/>
        </w:rPr>
        <w:t>ykolysen.</w:t>
      </w:r>
    </w:p>
    <w:p w:rsidR="00A61659" w:rsidRDefault="00A61659" w:rsidP="008C4E40">
      <w:pPr>
        <w:rPr>
          <w:rFonts w:ascii="Times New Roman" w:hAnsi="Times New Roman" w:cs="Times New Roman"/>
          <w:sz w:val="24"/>
          <w:szCs w:val="24"/>
        </w:rPr>
      </w:pPr>
      <w:r>
        <w:rPr>
          <w:rFonts w:ascii="Times New Roman" w:hAnsi="Times New Roman" w:cs="Times New Roman"/>
          <w:sz w:val="24"/>
          <w:szCs w:val="24"/>
        </w:rPr>
        <w:t>2. Alkoholtestet var positivt vi kan då dra slutsatsen att det pyruvat som bildades har omvandlats till etanol. Vi såg även gasbildning i kolonnen, detta var troligtvis koldioxid som bildas när pyruvatet dekarboxyleras ytterligare ett tecken på att etanol bildas.</w:t>
      </w:r>
    </w:p>
    <w:p w:rsidR="008C4E40" w:rsidRPr="008C4E40" w:rsidRDefault="008C4E40" w:rsidP="008C4E40">
      <w:pPr>
        <w:rPr>
          <w:rFonts w:ascii="Times New Roman" w:hAnsi="Times New Roman" w:cs="Times New Roman"/>
          <w:sz w:val="24"/>
          <w:szCs w:val="24"/>
        </w:rPr>
      </w:pPr>
    </w:p>
    <w:p w:rsidR="0011755C" w:rsidRPr="00C10F2A" w:rsidRDefault="0011755C" w:rsidP="0011755C">
      <w:pPr>
        <w:pStyle w:val="Rubrik1"/>
        <w:rPr>
          <w:rFonts w:ascii="Times New Roman" w:hAnsi="Times New Roman" w:cs="Times New Roman"/>
        </w:rPr>
      </w:pPr>
      <w:r w:rsidRPr="00C10F2A">
        <w:rPr>
          <w:rFonts w:ascii="Times New Roman" w:hAnsi="Times New Roman" w:cs="Times New Roman"/>
        </w:rPr>
        <w:t>Referenser:</w:t>
      </w:r>
    </w:p>
    <w:p w:rsidR="00EC5072" w:rsidRDefault="00A61659" w:rsidP="00FA185A">
      <w:pPr>
        <w:rPr>
          <w:rFonts w:ascii="Times New Roman" w:hAnsi="Times New Roman" w:cs="Times New Roman"/>
          <w:sz w:val="24"/>
          <w:szCs w:val="24"/>
        </w:rPr>
      </w:pPr>
      <w:r>
        <w:rPr>
          <w:rFonts w:ascii="Times New Roman" w:hAnsi="Times New Roman" w:cs="Times New Roman"/>
          <w:sz w:val="24"/>
          <w:szCs w:val="24"/>
        </w:rPr>
        <w:t xml:space="preserve">Anders Nilsson </w:t>
      </w:r>
    </w:p>
    <w:p w:rsidR="00A61659" w:rsidRDefault="00A61659" w:rsidP="00FA185A">
      <w:pPr>
        <w:rPr>
          <w:rFonts w:ascii="Times New Roman" w:hAnsi="Times New Roman" w:cs="Times New Roman"/>
          <w:sz w:val="24"/>
          <w:szCs w:val="24"/>
        </w:rPr>
      </w:pPr>
      <w:r>
        <w:rPr>
          <w:rFonts w:ascii="Times New Roman" w:hAnsi="Times New Roman" w:cs="Times New Roman"/>
          <w:sz w:val="24"/>
          <w:szCs w:val="24"/>
        </w:rPr>
        <w:t>Bioreaktorer ny teknik med immobiliserade enzymer och celler, Per-Olof Larsson</w:t>
      </w:r>
    </w:p>
    <w:p w:rsidR="00277D4F" w:rsidRDefault="00277D4F" w:rsidP="00FA185A">
      <w:pPr>
        <w:rPr>
          <w:rFonts w:ascii="Times New Roman" w:hAnsi="Times New Roman" w:cs="Times New Roman"/>
          <w:sz w:val="24"/>
          <w:szCs w:val="24"/>
        </w:rPr>
      </w:pPr>
      <w:hyperlink r:id="rId17" w:history="1">
        <w:r w:rsidRPr="00E822A5">
          <w:rPr>
            <w:rStyle w:val="Hyperlnk"/>
            <w:rFonts w:ascii="Times New Roman" w:hAnsi="Times New Roman" w:cs="Times New Roman"/>
            <w:sz w:val="24"/>
            <w:szCs w:val="24"/>
          </w:rPr>
          <w:t>http://sv.wikipedia.org/wiki/Glykolys</w:t>
        </w:r>
      </w:hyperlink>
    </w:p>
    <w:p w:rsidR="00277D4F" w:rsidRDefault="00277D4F" w:rsidP="00FA185A">
      <w:pPr>
        <w:rPr>
          <w:rFonts w:ascii="Times New Roman" w:hAnsi="Times New Roman" w:cs="Times New Roman"/>
          <w:sz w:val="24"/>
          <w:szCs w:val="24"/>
        </w:rPr>
      </w:pPr>
      <w:hyperlink r:id="rId18" w:history="1">
        <w:r w:rsidRPr="00E822A5">
          <w:rPr>
            <w:rStyle w:val="Hyperlnk"/>
            <w:rFonts w:ascii="Times New Roman" w:hAnsi="Times New Roman" w:cs="Times New Roman"/>
            <w:sz w:val="24"/>
            <w:szCs w:val="24"/>
          </w:rPr>
          <w:t>http://en.wikipedia.org/wiki/Pyruvic_acid</w:t>
        </w:r>
      </w:hyperlink>
    </w:p>
    <w:p w:rsidR="00277D4F" w:rsidRPr="00A61659" w:rsidRDefault="00277D4F" w:rsidP="00FA185A">
      <w:pPr>
        <w:rPr>
          <w:rFonts w:ascii="Times New Roman" w:hAnsi="Times New Roman" w:cs="Times New Roman"/>
          <w:sz w:val="24"/>
          <w:szCs w:val="24"/>
        </w:rPr>
      </w:pPr>
    </w:p>
    <w:p w:rsidR="005910A2" w:rsidRDefault="005910A2" w:rsidP="00FA185A">
      <w:pPr>
        <w:rPr>
          <w:rFonts w:ascii="Times New Roman" w:hAnsi="Times New Roman" w:cs="Times New Roman"/>
          <w:sz w:val="24"/>
          <w:szCs w:val="24"/>
        </w:rPr>
      </w:pPr>
    </w:p>
    <w:p w:rsidR="00FA185A" w:rsidRPr="00DE4CAB" w:rsidRDefault="00FA185A" w:rsidP="00B514BF">
      <w:pPr>
        <w:rPr>
          <w:rFonts w:ascii="Times New Roman" w:hAnsi="Times New Roman" w:cs="Times New Roman"/>
          <w:sz w:val="24"/>
          <w:szCs w:val="24"/>
        </w:rPr>
      </w:pPr>
    </w:p>
    <w:sectPr w:rsidR="00FA185A" w:rsidRPr="00DE4CAB" w:rsidSect="00D8579C">
      <w:headerReference w:type="default" r:id="rId1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58A" w:rsidRDefault="00D7758A" w:rsidP="00101726">
      <w:pPr>
        <w:spacing w:after="0" w:line="240" w:lineRule="auto"/>
      </w:pPr>
      <w:r>
        <w:separator/>
      </w:r>
    </w:p>
  </w:endnote>
  <w:endnote w:type="continuationSeparator" w:id="0">
    <w:p w:rsidR="00D7758A" w:rsidRDefault="00D7758A"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58A" w:rsidRDefault="00D7758A" w:rsidP="00101726">
      <w:pPr>
        <w:spacing w:after="0" w:line="240" w:lineRule="auto"/>
      </w:pPr>
      <w:r>
        <w:separator/>
      </w:r>
    </w:p>
  </w:footnote>
  <w:footnote w:type="continuationSeparator" w:id="0">
    <w:p w:rsidR="00D7758A" w:rsidRDefault="00D7758A"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280" w:rsidRDefault="005B1280">
    <w:pPr>
      <w:pStyle w:val="Sidhuvud"/>
    </w:pPr>
    <w:r>
      <w:t xml:space="preserve">Av: Emil Nygren </w:t>
    </w:r>
  </w:p>
  <w:p w:rsidR="005B1280" w:rsidRDefault="00190FEA">
    <w:pPr>
      <w:pStyle w:val="Sidhuvud"/>
    </w:pPr>
    <w:r>
      <w:t>NN3</w:t>
    </w:r>
    <w:r w:rsidR="005B1280">
      <w:t>a</w:t>
    </w:r>
  </w:p>
  <w:p w:rsidR="005B1280" w:rsidRDefault="007527F0">
    <w:pPr>
      <w:pStyle w:val="Sidhuvud"/>
    </w:pPr>
    <w:r>
      <w:t>Labbkamrat: Sebastian Ghomri</w:t>
    </w:r>
    <w:r w:rsidR="000654D3">
      <w:t>, Stefan Milivojevic, Niklas Torwald</w:t>
    </w:r>
    <w:r w:rsidR="005B1280">
      <w:t xml:space="preserve">                                   </w:t>
    </w:r>
    <w:r>
      <w:t xml:space="preserve">                              </w:t>
    </w:r>
    <w:r w:rsidR="00190FEA">
      <w:t xml:space="preserve">                       Datum: </w:t>
    </w:r>
    <w:r w:rsidR="000654D3">
      <w:t>31/3 2014</w:t>
    </w:r>
  </w:p>
  <w:p w:rsidR="005B1280" w:rsidRDefault="005B1280">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7B41"/>
    <w:multiLevelType w:val="hybridMultilevel"/>
    <w:tmpl w:val="874621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C9711E3"/>
    <w:multiLevelType w:val="hybridMultilevel"/>
    <w:tmpl w:val="B28672C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BC77DE3"/>
    <w:multiLevelType w:val="hybridMultilevel"/>
    <w:tmpl w:val="9AF29D0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2347728"/>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640485"/>
    <w:multiLevelType w:val="hybridMultilevel"/>
    <w:tmpl w:val="1CA2EB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9BF5FD8"/>
    <w:multiLevelType w:val="hybridMultilevel"/>
    <w:tmpl w:val="6B1EDC1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E8A1794"/>
    <w:multiLevelType w:val="hybridMultilevel"/>
    <w:tmpl w:val="6E9A6D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0333643"/>
    <w:multiLevelType w:val="hybridMultilevel"/>
    <w:tmpl w:val="C2C82F3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82E3EA9"/>
    <w:multiLevelType w:val="hybridMultilevel"/>
    <w:tmpl w:val="D7CE9C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3"/>
  </w:num>
  <w:num w:numId="6">
    <w:abstractNumId w:val="5"/>
  </w:num>
  <w:num w:numId="7">
    <w:abstractNumId w:val="9"/>
  </w:num>
  <w:num w:numId="8">
    <w:abstractNumId w:val="7"/>
  </w:num>
  <w:num w:numId="9">
    <w:abstractNumId w:val="4"/>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63490">
      <o:colormru v:ext="edit" colors="#b5b4b1"/>
      <o:colormenu v:ext="edit" fillcolor="#b5b4b1" strokecolor="none [3212]"/>
    </o:shapedefaults>
  </w:hdrShapeDefaults>
  <w:footnotePr>
    <w:footnote w:id="-1"/>
    <w:footnote w:id="0"/>
  </w:footnotePr>
  <w:endnotePr>
    <w:endnote w:id="-1"/>
    <w:endnote w:id="0"/>
  </w:endnotePr>
  <w:compat/>
  <w:rsids>
    <w:rsidRoot w:val="00101726"/>
    <w:rsid w:val="000654D3"/>
    <w:rsid w:val="00066DC1"/>
    <w:rsid w:val="00070316"/>
    <w:rsid w:val="00073184"/>
    <w:rsid w:val="000740FD"/>
    <w:rsid w:val="00093075"/>
    <w:rsid w:val="00096239"/>
    <w:rsid w:val="000A16EB"/>
    <w:rsid w:val="000A330B"/>
    <w:rsid w:val="000A3508"/>
    <w:rsid w:val="000B47EC"/>
    <w:rsid w:val="000F4C73"/>
    <w:rsid w:val="00101726"/>
    <w:rsid w:val="00111F9A"/>
    <w:rsid w:val="00114142"/>
    <w:rsid w:val="0011755C"/>
    <w:rsid w:val="001335C6"/>
    <w:rsid w:val="001370A3"/>
    <w:rsid w:val="001559B9"/>
    <w:rsid w:val="00157301"/>
    <w:rsid w:val="00170669"/>
    <w:rsid w:val="00180DF8"/>
    <w:rsid w:val="00185092"/>
    <w:rsid w:val="00187319"/>
    <w:rsid w:val="00190FEA"/>
    <w:rsid w:val="00193E65"/>
    <w:rsid w:val="001A4251"/>
    <w:rsid w:val="001A6445"/>
    <w:rsid w:val="001A7E40"/>
    <w:rsid w:val="001D51ED"/>
    <w:rsid w:val="001F183D"/>
    <w:rsid w:val="001F66DF"/>
    <w:rsid w:val="0021473C"/>
    <w:rsid w:val="0022096C"/>
    <w:rsid w:val="0024670E"/>
    <w:rsid w:val="00250894"/>
    <w:rsid w:val="00277D4F"/>
    <w:rsid w:val="00291B2B"/>
    <w:rsid w:val="00296D9B"/>
    <w:rsid w:val="002C265C"/>
    <w:rsid w:val="002D50A1"/>
    <w:rsid w:val="002D56F7"/>
    <w:rsid w:val="002D5A74"/>
    <w:rsid w:val="002D7DA5"/>
    <w:rsid w:val="002E6AA7"/>
    <w:rsid w:val="002F7C80"/>
    <w:rsid w:val="003149CD"/>
    <w:rsid w:val="0032252D"/>
    <w:rsid w:val="00324042"/>
    <w:rsid w:val="00327994"/>
    <w:rsid w:val="0033659A"/>
    <w:rsid w:val="0034461C"/>
    <w:rsid w:val="003548FE"/>
    <w:rsid w:val="00376EFB"/>
    <w:rsid w:val="00382B23"/>
    <w:rsid w:val="00383FDE"/>
    <w:rsid w:val="00387DDA"/>
    <w:rsid w:val="003A7D9B"/>
    <w:rsid w:val="003B093C"/>
    <w:rsid w:val="003C0610"/>
    <w:rsid w:val="003C3B5E"/>
    <w:rsid w:val="003D7F24"/>
    <w:rsid w:val="003F13C7"/>
    <w:rsid w:val="003F4174"/>
    <w:rsid w:val="00402F5C"/>
    <w:rsid w:val="00411DF1"/>
    <w:rsid w:val="00413C23"/>
    <w:rsid w:val="004437C8"/>
    <w:rsid w:val="004449F3"/>
    <w:rsid w:val="0045413F"/>
    <w:rsid w:val="00484774"/>
    <w:rsid w:val="004911F1"/>
    <w:rsid w:val="004B1ED6"/>
    <w:rsid w:val="004C4118"/>
    <w:rsid w:val="004C7131"/>
    <w:rsid w:val="00511ABC"/>
    <w:rsid w:val="005303C8"/>
    <w:rsid w:val="00544B7C"/>
    <w:rsid w:val="00552684"/>
    <w:rsid w:val="00555DD2"/>
    <w:rsid w:val="00565A42"/>
    <w:rsid w:val="0056697F"/>
    <w:rsid w:val="00580FDF"/>
    <w:rsid w:val="00584A9C"/>
    <w:rsid w:val="005910A2"/>
    <w:rsid w:val="005B1280"/>
    <w:rsid w:val="005B4EFD"/>
    <w:rsid w:val="005F0471"/>
    <w:rsid w:val="005F45FA"/>
    <w:rsid w:val="00611B20"/>
    <w:rsid w:val="00612C5E"/>
    <w:rsid w:val="006163C1"/>
    <w:rsid w:val="00616EF5"/>
    <w:rsid w:val="00632133"/>
    <w:rsid w:val="0063484C"/>
    <w:rsid w:val="00636411"/>
    <w:rsid w:val="00640A91"/>
    <w:rsid w:val="006537F5"/>
    <w:rsid w:val="00654483"/>
    <w:rsid w:val="0066259E"/>
    <w:rsid w:val="006659AE"/>
    <w:rsid w:val="00690403"/>
    <w:rsid w:val="006C1F4B"/>
    <w:rsid w:val="006C4917"/>
    <w:rsid w:val="006C613A"/>
    <w:rsid w:val="006E420C"/>
    <w:rsid w:val="006E60E0"/>
    <w:rsid w:val="006E6870"/>
    <w:rsid w:val="006F35D2"/>
    <w:rsid w:val="00702200"/>
    <w:rsid w:val="007068E1"/>
    <w:rsid w:val="007118BB"/>
    <w:rsid w:val="00714B62"/>
    <w:rsid w:val="00733253"/>
    <w:rsid w:val="007359E4"/>
    <w:rsid w:val="00737FBB"/>
    <w:rsid w:val="007527F0"/>
    <w:rsid w:val="007556DB"/>
    <w:rsid w:val="0076399D"/>
    <w:rsid w:val="00763BDC"/>
    <w:rsid w:val="007805CA"/>
    <w:rsid w:val="007903EC"/>
    <w:rsid w:val="0079402C"/>
    <w:rsid w:val="00794227"/>
    <w:rsid w:val="007A6A75"/>
    <w:rsid w:val="007B174D"/>
    <w:rsid w:val="007C0096"/>
    <w:rsid w:val="007C72B9"/>
    <w:rsid w:val="007D4E6A"/>
    <w:rsid w:val="007F3DC4"/>
    <w:rsid w:val="00803F02"/>
    <w:rsid w:val="00811E2D"/>
    <w:rsid w:val="008170CC"/>
    <w:rsid w:val="00821801"/>
    <w:rsid w:val="008251A0"/>
    <w:rsid w:val="0082636E"/>
    <w:rsid w:val="00842243"/>
    <w:rsid w:val="00847F9C"/>
    <w:rsid w:val="00853240"/>
    <w:rsid w:val="00863F20"/>
    <w:rsid w:val="00885E0F"/>
    <w:rsid w:val="008A085E"/>
    <w:rsid w:val="008B0E60"/>
    <w:rsid w:val="008C3DA1"/>
    <w:rsid w:val="008C4E40"/>
    <w:rsid w:val="008D0D11"/>
    <w:rsid w:val="008D52E3"/>
    <w:rsid w:val="008D5868"/>
    <w:rsid w:val="00912CA6"/>
    <w:rsid w:val="0095062D"/>
    <w:rsid w:val="00965E12"/>
    <w:rsid w:val="00980BA5"/>
    <w:rsid w:val="009A1144"/>
    <w:rsid w:val="009A2972"/>
    <w:rsid w:val="009B347C"/>
    <w:rsid w:val="009C395C"/>
    <w:rsid w:val="009E6B20"/>
    <w:rsid w:val="00A1106A"/>
    <w:rsid w:val="00A13F6F"/>
    <w:rsid w:val="00A31F46"/>
    <w:rsid w:val="00A34D72"/>
    <w:rsid w:val="00A61659"/>
    <w:rsid w:val="00A6344A"/>
    <w:rsid w:val="00A73439"/>
    <w:rsid w:val="00AA162C"/>
    <w:rsid w:val="00AB2C41"/>
    <w:rsid w:val="00AB5673"/>
    <w:rsid w:val="00AB5FC9"/>
    <w:rsid w:val="00AF46A8"/>
    <w:rsid w:val="00B03EC6"/>
    <w:rsid w:val="00B16636"/>
    <w:rsid w:val="00B277F6"/>
    <w:rsid w:val="00B30D06"/>
    <w:rsid w:val="00B47F06"/>
    <w:rsid w:val="00B514BF"/>
    <w:rsid w:val="00B52E49"/>
    <w:rsid w:val="00B858EB"/>
    <w:rsid w:val="00B907BB"/>
    <w:rsid w:val="00B91F21"/>
    <w:rsid w:val="00BA244B"/>
    <w:rsid w:val="00BB072B"/>
    <w:rsid w:val="00BC198D"/>
    <w:rsid w:val="00BD3055"/>
    <w:rsid w:val="00BE0570"/>
    <w:rsid w:val="00BE1725"/>
    <w:rsid w:val="00BE3444"/>
    <w:rsid w:val="00C015B4"/>
    <w:rsid w:val="00C0588E"/>
    <w:rsid w:val="00C10F2A"/>
    <w:rsid w:val="00C16039"/>
    <w:rsid w:val="00C2396C"/>
    <w:rsid w:val="00C61515"/>
    <w:rsid w:val="00C6558E"/>
    <w:rsid w:val="00C67680"/>
    <w:rsid w:val="00C720A5"/>
    <w:rsid w:val="00C73036"/>
    <w:rsid w:val="00C7536D"/>
    <w:rsid w:val="00C93334"/>
    <w:rsid w:val="00CA2E2A"/>
    <w:rsid w:val="00CA3D5A"/>
    <w:rsid w:val="00CB36E7"/>
    <w:rsid w:val="00CB472B"/>
    <w:rsid w:val="00CB5BC7"/>
    <w:rsid w:val="00CE681C"/>
    <w:rsid w:val="00D06515"/>
    <w:rsid w:val="00D1471D"/>
    <w:rsid w:val="00D17BE1"/>
    <w:rsid w:val="00D338F9"/>
    <w:rsid w:val="00D46FD0"/>
    <w:rsid w:val="00D557E1"/>
    <w:rsid w:val="00D601EC"/>
    <w:rsid w:val="00D64B25"/>
    <w:rsid w:val="00D64E04"/>
    <w:rsid w:val="00D75A58"/>
    <w:rsid w:val="00D7758A"/>
    <w:rsid w:val="00D80F57"/>
    <w:rsid w:val="00D82456"/>
    <w:rsid w:val="00D83A6A"/>
    <w:rsid w:val="00D8579C"/>
    <w:rsid w:val="00D8697F"/>
    <w:rsid w:val="00D97E9B"/>
    <w:rsid w:val="00DA41BB"/>
    <w:rsid w:val="00DB778B"/>
    <w:rsid w:val="00DC6813"/>
    <w:rsid w:val="00DE39BA"/>
    <w:rsid w:val="00DE4CAB"/>
    <w:rsid w:val="00DF059B"/>
    <w:rsid w:val="00DF539B"/>
    <w:rsid w:val="00E040AF"/>
    <w:rsid w:val="00E137B9"/>
    <w:rsid w:val="00E16B4D"/>
    <w:rsid w:val="00E21003"/>
    <w:rsid w:val="00E251BA"/>
    <w:rsid w:val="00E361D2"/>
    <w:rsid w:val="00E37467"/>
    <w:rsid w:val="00E51A59"/>
    <w:rsid w:val="00E53D9D"/>
    <w:rsid w:val="00E56619"/>
    <w:rsid w:val="00E70895"/>
    <w:rsid w:val="00E72B76"/>
    <w:rsid w:val="00E84525"/>
    <w:rsid w:val="00EC2849"/>
    <w:rsid w:val="00EC5072"/>
    <w:rsid w:val="00ED73B6"/>
    <w:rsid w:val="00EF11A8"/>
    <w:rsid w:val="00EF77BF"/>
    <w:rsid w:val="00F00DCA"/>
    <w:rsid w:val="00F176F9"/>
    <w:rsid w:val="00F2295B"/>
    <w:rsid w:val="00F274C2"/>
    <w:rsid w:val="00F508BE"/>
    <w:rsid w:val="00F5702B"/>
    <w:rsid w:val="00F71D1C"/>
    <w:rsid w:val="00F8226F"/>
    <w:rsid w:val="00F828DE"/>
    <w:rsid w:val="00F86B34"/>
    <w:rsid w:val="00F9752B"/>
    <w:rsid w:val="00FA185A"/>
    <w:rsid w:val="00FA2AD3"/>
    <w:rsid w:val="00FB5D2C"/>
    <w:rsid w:val="00FE37B9"/>
    <w:rsid w:val="00FF45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3490">
      <o:colormru v:ext="edit" colors="#b5b4b1"/>
      <o:colormenu v:ext="edit" fillcolor="#b5b4b1" stroke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E53D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D5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ubrik3Char">
    <w:name w:val="Rubrik 3 Char"/>
    <w:basedOn w:val="Standardstycketeckensnitt"/>
    <w:link w:val="Rubrik3"/>
    <w:uiPriority w:val="9"/>
    <w:rsid w:val="00E53D9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en.wikipedia.org/wiki/Pyruvic_acid"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v.wikipedia.org/wiki/Glykoly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46C3E"/>
    <w:rsid w:val="00E46C3E"/>
    <w:rsid w:val="00F26F4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7E32980CED74504AAE811F35FF85B51">
    <w:name w:val="67E32980CED74504AAE811F35FF85B51"/>
    <w:rsid w:val="00E46C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NN3a</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5.xml><?xml version="1.0" encoding="utf-8"?>
<ds:datastoreItem xmlns:ds="http://schemas.openxmlformats.org/officeDocument/2006/customXml" ds:itemID="{F7E0A301-FD0A-4641-A4AD-120CB9D6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669</Words>
  <Characters>3551</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Labbrapport-          Studering av glykolys hos jästceller</vt:lpstr>
    </vt:vector>
  </TitlesOfParts>
  <Company>Nacka Gymnasium</Company>
  <LinksUpToDate>false</LinksUpToDate>
  <CharactersWithSpaces>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Studering av glykolys hos jästceller</dc:title>
  <dc:subject>Nacka Gymnasium</dc:subject>
  <dc:creator>Emil Nygren</dc:creator>
  <cp:lastModifiedBy>emil.r.nygren</cp:lastModifiedBy>
  <cp:revision>8</cp:revision>
  <cp:lastPrinted>2012-02-16T11:04:00Z</cp:lastPrinted>
  <dcterms:created xsi:type="dcterms:W3CDTF">2014-03-31T19:09:00Z</dcterms:created>
  <dcterms:modified xsi:type="dcterms:W3CDTF">2014-05-05T19:06:00Z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y fmtid="{D5CDD505-2E9C-101B-9397-08002B2CF9AE}" pid="4" name="Arbetsområde">
    <vt:lpwstr/>
  </property>
  <property fmtid="{D5CDD505-2E9C-101B-9397-08002B2CF9AE}" pid="5" name="UrkundResult">
    <vt:lpwstr/>
  </property>
  <property fmtid="{D5CDD505-2E9C-101B-9397-08002B2CF9AE}" pid="6" name="Utökad beskrivning">
    <vt:lpwstr/>
  </property>
  <property fmtid="{D5CDD505-2E9C-101B-9397-08002B2CF9AE}" pid="7" name="Elevkommentar">
    <vt:lpwstr/>
  </property>
  <property fmtid="{D5CDD505-2E9C-101B-9397-08002B2CF9AE}" pid="8" name="Lärarkommentar">
    <vt:lpwstr>Metoddelen saknar beskrivning. Hur gick utvärderingen av mätresultaten till? För mer information, se kommentarerna i texten.</vt:lpwstr>
  </property>
  <property fmtid="{D5CDD505-2E9C-101B-9397-08002B2CF9AE}" pid="9" name="Lärarstatus">
    <vt:lpwstr>Klar</vt:lpwstr>
  </property>
</Properties>
</file>