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D82456">
          <w:r>
            <w:rPr>
              <w:noProof/>
              <w:lang w:eastAsia="sv-SE"/>
            </w:rPr>
            <w:pict>
              <v:rect id="_x0000_s1086" style="position:absolute;margin-left:39pt;margin-top:-172.85pt;width:453.5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29359063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B1280" w:rsidRPr="00DE4CAB" w:rsidRDefault="00F8226F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   Excitation av salter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5B1280" w:rsidRDefault="005B128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5B1280" w:rsidRDefault="005B1280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2456">
          <w:pPr>
            <w:rPr>
              <w:rFonts w:asciiTheme="majorHAnsi" w:eastAsiaTheme="majorEastAsia" w:hAnsiTheme="majorHAnsi" w:cstheme="majorBidi"/>
              <w:caps/>
            </w:rPr>
          </w:pPr>
          <w:r w:rsidRPr="00D82456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0.65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293590638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5B1280" w:rsidRDefault="00F8226F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NN2</w:t>
                          </w:r>
                          <w:r w:rsidR="005B1280"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D82456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5pt;height:252.2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EC2849">
        <w:rPr>
          <w:rFonts w:ascii="Times New Roman" w:hAnsi="Times New Roman" w:cs="Times New Roman"/>
          <w:sz w:val="44"/>
          <w:szCs w:val="44"/>
        </w:rPr>
        <w:t xml:space="preserve">Excitation av </w:t>
      </w:r>
      <w:r w:rsidR="00F8226F">
        <w:rPr>
          <w:rFonts w:ascii="Times New Roman" w:hAnsi="Times New Roman" w:cs="Times New Roman"/>
          <w:sz w:val="44"/>
          <w:szCs w:val="44"/>
        </w:rPr>
        <w:t>salter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7A6A75" w:rsidRPr="00E84525" w:rsidRDefault="00E84525" w:rsidP="004C4118">
      <w:pPr>
        <w:rPr>
          <w:rFonts w:ascii="Times New Roman" w:hAnsi="Times New Roman" w:cs="Times New Roman"/>
        </w:rPr>
      </w:pPr>
      <w:r w:rsidRPr="00E84525">
        <w:rPr>
          <w:rFonts w:ascii="Times New Roman" w:hAnsi="Times New Roman" w:cs="Times New Roman"/>
        </w:rPr>
        <w:t>I denna</w:t>
      </w:r>
      <w:r>
        <w:rPr>
          <w:rFonts w:ascii="Times New Roman" w:hAnsi="Times New Roman" w:cs="Times New Roman"/>
        </w:rPr>
        <w:t xml:space="preserve"> laboration studerade</w:t>
      </w:r>
      <w:r w:rsidR="00580FDF">
        <w:rPr>
          <w:rFonts w:ascii="Times New Roman" w:hAnsi="Times New Roman" w:cs="Times New Roman"/>
        </w:rPr>
        <w:t xml:space="preserve"> vi </w:t>
      </w:r>
      <w:r w:rsidR="0024670E">
        <w:rPr>
          <w:rFonts w:ascii="Times New Roman" w:hAnsi="Times New Roman" w:cs="Times New Roman"/>
        </w:rPr>
        <w:t>olika jonföreningars egenskaper att ge upphov till olika lågfärger</w:t>
      </w:r>
      <w:r w:rsidR="00EC2849">
        <w:rPr>
          <w:rFonts w:ascii="Times New Roman" w:hAnsi="Times New Roman" w:cs="Times New Roman"/>
        </w:rPr>
        <w:t xml:space="preserve"> vid excitation</w:t>
      </w:r>
      <w:r w:rsidR="00C73036">
        <w:rPr>
          <w:rFonts w:ascii="Times New Roman" w:hAnsi="Times New Roman" w:cs="Times New Roman"/>
        </w:rPr>
        <w:t xml:space="preserve"> och på så sätt ta reda på om det går att identifiera ett salt på dess lågfärg.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</w:p>
    <w:p w:rsidR="00F176F9" w:rsidRPr="00F176F9" w:rsidRDefault="00F176F9" w:rsidP="00F176F9">
      <w:r>
        <w:t>Excitation är när en atom tillförs energi</w:t>
      </w:r>
      <w:r w:rsidR="006E420C">
        <w:t xml:space="preserve">, som tas upp av en eller flera atomer vilket gör att elektronerna hoppar till ett </w:t>
      </w:r>
      <w:r w:rsidR="000A16EB">
        <w:t>skal högre, men elektronerna är väldigt instabila i det här tillståndet och kommer snabbt hoppa tillbaka till sitt grundskal.</w:t>
      </w:r>
    </w:p>
    <w:p w:rsidR="000A16EB" w:rsidRDefault="0024670E" w:rsidP="000A16EB">
      <w:r>
        <w:t xml:space="preserve">När ett </w:t>
      </w:r>
      <w:r w:rsidR="00F176F9">
        <w:t>s</w:t>
      </w:r>
      <w:r>
        <w:t xml:space="preserve">alt upphettas i en låga </w:t>
      </w:r>
      <w:r w:rsidR="005B4EFD">
        <w:t>s</w:t>
      </w:r>
      <w:r w:rsidR="00F176F9">
        <w:t>å bildas exciterade metallatome</w:t>
      </w:r>
      <w:r w:rsidR="0032252D">
        <w:t>r</w:t>
      </w:r>
      <w:r w:rsidR="005B4EFD">
        <w:t xml:space="preserve"> och när elektrone</w:t>
      </w:r>
      <w:r w:rsidR="00AF46A8">
        <w:t>rna går tillbaka till sin grund</w:t>
      </w:r>
      <w:r w:rsidR="005B4EFD">
        <w:t>nivå, så sänds ett ljus ut med en färg som är typiskt för just den metallen</w:t>
      </w:r>
      <w:r w:rsidR="00AF46A8">
        <w:t>, med en viss våglängd</w:t>
      </w:r>
      <w:r w:rsidR="005B4EFD">
        <w:t>.</w:t>
      </w:r>
    </w:p>
    <w:p w:rsidR="000A16EB" w:rsidRDefault="0032252D" w:rsidP="0032252D">
      <w:pPr>
        <w:pStyle w:val="Rubrik2"/>
      </w:pPr>
      <w:r>
        <w:t>Bild</w:t>
      </w:r>
    </w:p>
    <w:p w:rsidR="0032252D" w:rsidRPr="0032252D" w:rsidRDefault="0032252D" w:rsidP="0032252D">
      <w:r>
        <w:rPr>
          <w:noProof/>
          <w:lang w:eastAsia="sv-S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421005</wp:posOffset>
            </wp:positionV>
            <wp:extent cx="4453255" cy="2762250"/>
            <wp:effectExtent l="0" t="0" r="0" b="0"/>
            <wp:wrapTopAndBottom/>
            <wp:docPr id="4" name="Bild 1" descr="http://csep10.phys.utk.edu/astr162/lect/light/excit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ep10.phys.utk.edu/astr162/lect/light/excitation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2E49" w:rsidRDefault="00B52E49" w:rsidP="0032252D">
      <w:pPr>
        <w:pStyle w:val="Rubrik2"/>
      </w:pPr>
    </w:p>
    <w:p w:rsidR="00B52E49" w:rsidRDefault="00B52E49" w:rsidP="00B52E49"/>
    <w:p w:rsidR="00B52E49" w:rsidRPr="00B52E49" w:rsidRDefault="00B52E49" w:rsidP="00B52E49"/>
    <w:p w:rsidR="00B52E49" w:rsidRDefault="00F176F9" w:rsidP="0032252D">
      <w:pPr>
        <w:pStyle w:val="Rubrik2"/>
      </w:pPr>
      <w:r>
        <w:lastRenderedPageBreak/>
        <w:t xml:space="preserve"> </w:t>
      </w:r>
    </w:p>
    <w:p w:rsidR="0011755C" w:rsidRPr="0032252D" w:rsidRDefault="0011755C" w:rsidP="0032252D">
      <w:pPr>
        <w:pStyle w:val="Rubrik2"/>
      </w:pPr>
      <w:r w:rsidRPr="00DE4CAB">
        <w:rPr>
          <w:rFonts w:ascii="Times New Roman" w:hAnsi="Times New Roman" w:cs="Times New Roman"/>
        </w:rPr>
        <w:t>Metod:</w:t>
      </w:r>
    </w:p>
    <w:p w:rsidR="0011755C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AF46A8" w:rsidRDefault="00AF46A8" w:rsidP="00ED73B6">
      <w:pPr>
        <w:pStyle w:val="Liststycke"/>
        <w:numPr>
          <w:ilvl w:val="0"/>
          <w:numId w:val="1"/>
        </w:numPr>
      </w:pPr>
      <w:r>
        <w:t>Ståltråd</w:t>
      </w:r>
    </w:p>
    <w:p w:rsidR="00ED73B6" w:rsidRDefault="00ED73B6" w:rsidP="00ED73B6">
      <w:pPr>
        <w:pStyle w:val="Liststycke"/>
        <w:numPr>
          <w:ilvl w:val="0"/>
          <w:numId w:val="1"/>
        </w:numPr>
      </w:pPr>
      <w:r>
        <w:t>Gasbrännare</w:t>
      </w:r>
    </w:p>
    <w:p w:rsidR="00ED73B6" w:rsidRDefault="00ED73B6" w:rsidP="00ED73B6">
      <w:pPr>
        <w:pStyle w:val="Liststycke"/>
        <w:numPr>
          <w:ilvl w:val="0"/>
          <w:numId w:val="1"/>
        </w:numPr>
      </w:pPr>
      <w:r>
        <w:t>Tändstickor</w:t>
      </w:r>
    </w:p>
    <w:p w:rsidR="00ED73B6" w:rsidRDefault="00ED73B6" w:rsidP="00ED73B6">
      <w:pPr>
        <w:pStyle w:val="Liststycke"/>
        <w:numPr>
          <w:ilvl w:val="0"/>
          <w:numId w:val="1"/>
        </w:numPr>
      </w:pPr>
      <w:r>
        <w:t>Kopparsulfat</w:t>
      </w:r>
    </w:p>
    <w:p w:rsidR="00ED73B6" w:rsidRDefault="00ED73B6" w:rsidP="00ED73B6">
      <w:pPr>
        <w:pStyle w:val="Liststycke"/>
        <w:numPr>
          <w:ilvl w:val="0"/>
          <w:numId w:val="1"/>
        </w:numPr>
      </w:pPr>
      <w:r>
        <w:t>Kalciumklorid</w:t>
      </w:r>
    </w:p>
    <w:p w:rsidR="00ED73B6" w:rsidRDefault="00ED73B6" w:rsidP="00ED73B6">
      <w:pPr>
        <w:pStyle w:val="Liststycke"/>
        <w:numPr>
          <w:ilvl w:val="0"/>
          <w:numId w:val="1"/>
        </w:numPr>
      </w:pPr>
      <w:r>
        <w:t>Litiumklorid</w:t>
      </w:r>
    </w:p>
    <w:p w:rsidR="00ED73B6" w:rsidRDefault="00ED73B6" w:rsidP="00ED73B6">
      <w:pPr>
        <w:pStyle w:val="Liststycke"/>
        <w:numPr>
          <w:ilvl w:val="0"/>
          <w:numId w:val="1"/>
        </w:numPr>
      </w:pPr>
      <w:r>
        <w:t>Natriumklorid</w:t>
      </w:r>
    </w:p>
    <w:p w:rsidR="00ED73B6" w:rsidRDefault="00ED73B6" w:rsidP="00ED73B6">
      <w:pPr>
        <w:pStyle w:val="Liststycke"/>
        <w:numPr>
          <w:ilvl w:val="0"/>
          <w:numId w:val="1"/>
        </w:numPr>
      </w:pPr>
      <w:r>
        <w:t>Bariumklorid</w:t>
      </w:r>
    </w:p>
    <w:p w:rsidR="00ED73B6" w:rsidRDefault="00ED73B6" w:rsidP="00ED73B6">
      <w:pPr>
        <w:pStyle w:val="Liststycke"/>
        <w:numPr>
          <w:ilvl w:val="0"/>
          <w:numId w:val="1"/>
        </w:numPr>
      </w:pPr>
      <w:r>
        <w:t>Kaliumnitrat</w:t>
      </w:r>
    </w:p>
    <w:p w:rsidR="00ED73B6" w:rsidRPr="00AF46A8" w:rsidRDefault="00ED73B6" w:rsidP="00ED73B6">
      <w:pPr>
        <w:pStyle w:val="Liststycke"/>
        <w:numPr>
          <w:ilvl w:val="0"/>
          <w:numId w:val="1"/>
        </w:numPr>
      </w:pPr>
      <w:r>
        <w:t>Strontiumklorid</w:t>
      </w:r>
    </w:p>
    <w:p w:rsidR="00484774" w:rsidRDefault="00484774" w:rsidP="0011755C">
      <w:pPr>
        <w:pStyle w:val="Rubrik2"/>
        <w:rPr>
          <w:rFonts w:ascii="Times New Roman" w:hAnsi="Times New Roman" w:cs="Times New Roman"/>
        </w:rPr>
      </w:pPr>
    </w:p>
    <w:p w:rsidR="007556DB" w:rsidRDefault="0011755C" w:rsidP="00ED73B6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Utförande</w:t>
      </w:r>
    </w:p>
    <w:p w:rsidR="00ED73B6" w:rsidRDefault="00ED73B6" w:rsidP="00ED73B6">
      <w:pPr>
        <w:pStyle w:val="Liststycke"/>
        <w:numPr>
          <w:ilvl w:val="0"/>
          <w:numId w:val="9"/>
        </w:numPr>
      </w:pPr>
      <w:r>
        <w:t>Gasbrännaren tändes med hjälp av tändstickorna</w:t>
      </w:r>
    </w:p>
    <w:p w:rsidR="00ED73B6" w:rsidRDefault="00E37467" w:rsidP="00ED73B6">
      <w:pPr>
        <w:pStyle w:val="Liststycke"/>
        <w:numPr>
          <w:ilvl w:val="0"/>
          <w:numId w:val="9"/>
        </w:numPr>
      </w:pPr>
      <w:r>
        <w:t>Ståltråden värmdes upp i gasbrännarens låga</w:t>
      </w:r>
    </w:p>
    <w:p w:rsidR="00E37467" w:rsidRDefault="00E37467" w:rsidP="00ED73B6">
      <w:pPr>
        <w:pStyle w:val="Liststycke"/>
        <w:numPr>
          <w:ilvl w:val="0"/>
          <w:numId w:val="9"/>
        </w:numPr>
      </w:pPr>
      <w:r>
        <w:t>Därefter doppades den fortfarande varma ståltråden i ett av salterna.</w:t>
      </w:r>
    </w:p>
    <w:p w:rsidR="00E37467" w:rsidRDefault="00E37467" w:rsidP="00ED73B6">
      <w:pPr>
        <w:pStyle w:val="Liststycke"/>
        <w:numPr>
          <w:ilvl w:val="0"/>
          <w:numId w:val="9"/>
        </w:numPr>
      </w:pPr>
      <w:r>
        <w:t>Ståltråden med saltet fördes åter in i gasbrännarens låga</w:t>
      </w:r>
    </w:p>
    <w:p w:rsidR="00E37467" w:rsidRDefault="00E37467" w:rsidP="00ED73B6">
      <w:pPr>
        <w:pStyle w:val="Liststycke"/>
        <w:numPr>
          <w:ilvl w:val="0"/>
          <w:numId w:val="9"/>
        </w:numPr>
      </w:pPr>
      <w:r>
        <w:t>Färgen på lågan observerades.</w:t>
      </w:r>
    </w:p>
    <w:p w:rsidR="00E37467" w:rsidRDefault="00E37467" w:rsidP="00ED73B6">
      <w:pPr>
        <w:pStyle w:val="Liststycke"/>
        <w:numPr>
          <w:ilvl w:val="0"/>
          <w:numId w:val="9"/>
        </w:numPr>
      </w:pPr>
      <w:r>
        <w:t>Detta gjordes om på alla salter</w:t>
      </w:r>
    </w:p>
    <w:p w:rsidR="006E420C" w:rsidRDefault="006E420C" w:rsidP="006E420C">
      <w:pPr>
        <w:pStyle w:val="Liststycke"/>
      </w:pPr>
    </w:p>
    <w:p w:rsidR="006E420C" w:rsidRPr="006E420C" w:rsidRDefault="006E420C" w:rsidP="006E420C"/>
    <w:p w:rsidR="0066259E" w:rsidRDefault="0066259E" w:rsidP="0066259E"/>
    <w:p w:rsidR="0066259E" w:rsidRPr="0066259E" w:rsidRDefault="0066259E" w:rsidP="0066259E"/>
    <w:p w:rsidR="0032252D" w:rsidRDefault="0032252D" w:rsidP="0011755C">
      <w:pPr>
        <w:pStyle w:val="Rubrik1"/>
        <w:rPr>
          <w:rFonts w:ascii="Times New Roman" w:hAnsi="Times New Roman" w:cs="Times New Roman"/>
        </w:rPr>
      </w:pPr>
    </w:p>
    <w:p w:rsidR="0032252D" w:rsidRDefault="0032252D" w:rsidP="0032252D"/>
    <w:p w:rsidR="0032252D" w:rsidRPr="0032252D" w:rsidRDefault="0032252D" w:rsidP="0032252D"/>
    <w:p w:rsidR="00B52E49" w:rsidRDefault="00B52E49" w:rsidP="0011755C">
      <w:pPr>
        <w:pStyle w:val="Rubrik1"/>
        <w:rPr>
          <w:rFonts w:ascii="Times New Roman" w:hAnsi="Times New Roman" w:cs="Times New Roman"/>
        </w:rPr>
      </w:pPr>
    </w:p>
    <w:p w:rsidR="00B52E49" w:rsidRDefault="00B52E49" w:rsidP="00B52E49"/>
    <w:p w:rsidR="00B52E49" w:rsidRPr="00B52E49" w:rsidRDefault="00B52E49" w:rsidP="00B52E49"/>
    <w:p w:rsidR="0011755C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lastRenderedPageBreak/>
        <w:t>Resultat:</w:t>
      </w:r>
    </w:p>
    <w:p w:rsidR="00D557E1" w:rsidRPr="006163C1" w:rsidRDefault="00D557E1" w:rsidP="00D557E1">
      <w:pPr>
        <w:tabs>
          <w:tab w:val="left" w:pos="3825"/>
        </w:tabs>
        <w:rPr>
          <w:rFonts w:ascii="Times New Roman" w:hAnsi="Times New Roman" w:cs="Times New Roman"/>
        </w:rPr>
      </w:pPr>
    </w:p>
    <w:tbl>
      <w:tblPr>
        <w:tblStyle w:val="Tabellrutnt"/>
        <w:tblW w:w="0" w:type="auto"/>
        <w:tblLook w:val="04A0"/>
      </w:tblPr>
      <w:tblGrid>
        <w:gridCol w:w="4606"/>
        <w:gridCol w:w="4606"/>
      </w:tblGrid>
      <w:tr w:rsidR="00D557E1" w:rsidTr="00D557E1">
        <w:tc>
          <w:tcPr>
            <w:tcW w:w="4606" w:type="dxa"/>
          </w:tcPr>
          <w:p w:rsidR="00D557E1" w:rsidRDefault="00D557E1" w:rsidP="00096239">
            <w:pPr>
              <w:pStyle w:val="Rubrik2"/>
              <w:jc w:val="center"/>
            </w:pPr>
            <w:r>
              <w:t>Salt</w:t>
            </w:r>
          </w:p>
        </w:tc>
        <w:tc>
          <w:tcPr>
            <w:tcW w:w="4606" w:type="dxa"/>
          </w:tcPr>
          <w:p w:rsidR="00D557E1" w:rsidRDefault="00D557E1" w:rsidP="00096239">
            <w:pPr>
              <w:pStyle w:val="Rubrik2"/>
              <w:jc w:val="center"/>
            </w:pPr>
            <w:r>
              <w:t>Färg</w:t>
            </w:r>
          </w:p>
        </w:tc>
      </w:tr>
      <w:tr w:rsidR="00D557E1" w:rsidTr="00D557E1">
        <w:tc>
          <w:tcPr>
            <w:tcW w:w="4606" w:type="dxa"/>
          </w:tcPr>
          <w:p w:rsidR="00D557E1" w:rsidRDefault="00D557E1" w:rsidP="00D557E1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Kopparsulfat</w:t>
            </w:r>
          </w:p>
        </w:tc>
        <w:tc>
          <w:tcPr>
            <w:tcW w:w="4606" w:type="dxa"/>
          </w:tcPr>
          <w:p w:rsidR="00D557E1" w:rsidRDefault="00D557E1" w:rsidP="00D557E1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Grönt</w:t>
            </w:r>
          </w:p>
        </w:tc>
      </w:tr>
      <w:tr w:rsidR="00D557E1" w:rsidTr="00D557E1">
        <w:tc>
          <w:tcPr>
            <w:tcW w:w="4606" w:type="dxa"/>
          </w:tcPr>
          <w:p w:rsidR="00D557E1" w:rsidRDefault="00D557E1" w:rsidP="00D557E1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Kalciumklorid</w:t>
            </w:r>
          </w:p>
        </w:tc>
        <w:tc>
          <w:tcPr>
            <w:tcW w:w="4606" w:type="dxa"/>
          </w:tcPr>
          <w:p w:rsidR="00D557E1" w:rsidRDefault="00D557E1" w:rsidP="00D557E1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Orange-röd-rosa</w:t>
            </w:r>
          </w:p>
        </w:tc>
      </w:tr>
      <w:tr w:rsidR="00D557E1" w:rsidTr="00D557E1">
        <w:tc>
          <w:tcPr>
            <w:tcW w:w="4606" w:type="dxa"/>
          </w:tcPr>
          <w:p w:rsidR="00D557E1" w:rsidRDefault="00D557E1" w:rsidP="00D557E1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Litiumklorid</w:t>
            </w:r>
          </w:p>
        </w:tc>
        <w:tc>
          <w:tcPr>
            <w:tcW w:w="4606" w:type="dxa"/>
          </w:tcPr>
          <w:p w:rsidR="00D557E1" w:rsidRDefault="00D557E1" w:rsidP="00D557E1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Rosa-röd</w:t>
            </w:r>
          </w:p>
        </w:tc>
      </w:tr>
      <w:tr w:rsidR="00D557E1" w:rsidTr="00D557E1">
        <w:tc>
          <w:tcPr>
            <w:tcW w:w="4606" w:type="dxa"/>
          </w:tcPr>
          <w:p w:rsidR="00D557E1" w:rsidRDefault="00D557E1" w:rsidP="00D557E1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Natriumklorid</w:t>
            </w:r>
          </w:p>
        </w:tc>
        <w:tc>
          <w:tcPr>
            <w:tcW w:w="4606" w:type="dxa"/>
          </w:tcPr>
          <w:p w:rsidR="00D557E1" w:rsidRDefault="00D557E1" w:rsidP="00D557E1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Gul</w:t>
            </w:r>
          </w:p>
        </w:tc>
      </w:tr>
      <w:tr w:rsidR="00D557E1" w:rsidTr="00D557E1">
        <w:tc>
          <w:tcPr>
            <w:tcW w:w="4606" w:type="dxa"/>
          </w:tcPr>
          <w:p w:rsidR="00D557E1" w:rsidRDefault="00096239" w:rsidP="00D557E1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Bariumklorid</w:t>
            </w:r>
          </w:p>
        </w:tc>
        <w:tc>
          <w:tcPr>
            <w:tcW w:w="4606" w:type="dxa"/>
          </w:tcPr>
          <w:p w:rsidR="00D557E1" w:rsidRDefault="00096239" w:rsidP="00096239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Gul-grön</w:t>
            </w:r>
          </w:p>
        </w:tc>
      </w:tr>
      <w:tr w:rsidR="00D557E1" w:rsidTr="00D557E1">
        <w:tc>
          <w:tcPr>
            <w:tcW w:w="4606" w:type="dxa"/>
          </w:tcPr>
          <w:p w:rsidR="00D557E1" w:rsidRDefault="00096239" w:rsidP="00096239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Kaliumnitrat</w:t>
            </w:r>
          </w:p>
        </w:tc>
        <w:tc>
          <w:tcPr>
            <w:tcW w:w="4606" w:type="dxa"/>
          </w:tcPr>
          <w:p w:rsidR="00D557E1" w:rsidRDefault="00096239" w:rsidP="00096239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Rosa-vitt-gul</w:t>
            </w:r>
          </w:p>
        </w:tc>
      </w:tr>
      <w:tr w:rsidR="00D557E1" w:rsidTr="00D557E1">
        <w:tc>
          <w:tcPr>
            <w:tcW w:w="4606" w:type="dxa"/>
          </w:tcPr>
          <w:p w:rsidR="00D557E1" w:rsidRDefault="00096239" w:rsidP="00096239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Strontiumklorid</w:t>
            </w:r>
          </w:p>
        </w:tc>
        <w:tc>
          <w:tcPr>
            <w:tcW w:w="4606" w:type="dxa"/>
          </w:tcPr>
          <w:p w:rsidR="00D557E1" w:rsidRDefault="00096239" w:rsidP="00096239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Röd</w:t>
            </w:r>
          </w:p>
        </w:tc>
      </w:tr>
    </w:tbl>
    <w:p w:rsidR="00DB778B" w:rsidRPr="00E70895" w:rsidRDefault="00DB778B" w:rsidP="00DB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</w:p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Diskussion:</w:t>
      </w:r>
    </w:p>
    <w:p w:rsidR="00C73036" w:rsidRDefault="00D46FD0" w:rsidP="00D46FD0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Slutsats</w:t>
      </w:r>
    </w:p>
    <w:p w:rsidR="00C73036" w:rsidRDefault="00C73036" w:rsidP="00C73036">
      <w:r>
        <w:t xml:space="preserve">Metallatomerna i saltet är de som ger upphov till </w:t>
      </w:r>
      <w:r w:rsidR="007359E4">
        <w:t>excitationens och dess specifika lågfärg.</w:t>
      </w:r>
    </w:p>
    <w:p w:rsidR="007359E4" w:rsidRDefault="007359E4" w:rsidP="00C73036">
      <w:r>
        <w:t xml:space="preserve">Koppar ger upphov till grönt, kalcium till gulröd, litium till röd, natrium till gul, </w:t>
      </w:r>
      <w:r w:rsidR="00383FDE">
        <w:t>Barium till grön, kalium till rödviolett och strontium till röd.</w:t>
      </w:r>
    </w:p>
    <w:p w:rsidR="00B52E49" w:rsidRDefault="00B52E49" w:rsidP="00C73036">
      <w:r>
        <w:t>Resultatet på de salter som brändes stämmer överens med dem färger som metallerna bör ge upphov till.</w:t>
      </w:r>
    </w:p>
    <w:p w:rsidR="00965E12" w:rsidRPr="00C73036" w:rsidRDefault="00965E12" w:rsidP="00C73036">
      <w:r>
        <w:t xml:space="preserve">Varje atomslag har unika elektronskal som elektronerna är fördelade över för just denna atom, </w:t>
      </w:r>
      <w:r w:rsidR="00BE0570">
        <w:t>elektronerna är då placerade på ett speciellt sätt för de olika energinivåerna och på grund av detta har varje metall sin egen lågfärg (sitt egna spektrum)</w:t>
      </w:r>
      <w:r w:rsidR="002E6AA7">
        <w:t xml:space="preserve"> som sänds ut när elektronerna hoppar tillbaka till lägre energinivå</w:t>
      </w:r>
      <w:r w:rsidR="00BE0570">
        <w:t>.</w:t>
      </w:r>
    </w:p>
    <w:p w:rsidR="00D46FD0" w:rsidRDefault="00D46FD0" w:rsidP="00D46FD0">
      <w:pPr>
        <w:pStyle w:val="Rubrik2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Felkällor</w:t>
      </w:r>
    </w:p>
    <w:p w:rsidR="00D83A6A" w:rsidRPr="00D83A6A" w:rsidRDefault="00A31F46" w:rsidP="00D83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Felkällor som kan uppstå i denna laboration är att lågan som man bränner saltet i kan vara färgad i sig, vilket gör en liten skillnad när man ska observera saltets lågfärg.</w:t>
      </w:r>
    </w:p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Referenser:</w:t>
      </w:r>
    </w:p>
    <w:p w:rsidR="00FA185A" w:rsidRDefault="005910A2" w:rsidP="00FA185A">
      <w:r>
        <w:t>Gymnasie Kemi 1 Andersson Sonesson Svahn Tullberg</w:t>
      </w:r>
    </w:p>
    <w:p w:rsidR="00B52E49" w:rsidRDefault="00B52E49" w:rsidP="00FA185A">
      <w:hyperlink r:id="rId13" w:history="1">
        <w:r w:rsidRPr="008D565B">
          <w:rPr>
            <w:rStyle w:val="Hyperlnk"/>
          </w:rPr>
          <w:t>http://www.ne.se/excitation/165924</w:t>
        </w:r>
      </w:hyperlink>
    </w:p>
    <w:p w:rsidR="00B52E49" w:rsidRDefault="00E040AF" w:rsidP="00FA185A">
      <w:hyperlink r:id="rId14" w:history="1">
        <w:r w:rsidRPr="008D565B">
          <w:rPr>
            <w:rStyle w:val="Hyperlnk"/>
          </w:rPr>
          <w:t>http://en.wikipedia.org/wiki/Excitation_spectrum</w:t>
        </w:r>
      </w:hyperlink>
    </w:p>
    <w:p w:rsidR="00E040AF" w:rsidRDefault="00E040AF" w:rsidP="00FA185A"/>
    <w:p w:rsidR="005910A2" w:rsidRDefault="005910A2" w:rsidP="00FA185A">
      <w:pPr>
        <w:rPr>
          <w:rFonts w:ascii="Times New Roman" w:hAnsi="Times New Roman" w:cs="Times New Roman"/>
          <w:sz w:val="24"/>
          <w:szCs w:val="24"/>
        </w:rPr>
      </w:pPr>
    </w:p>
    <w:p w:rsidR="00FA185A" w:rsidRPr="00DE4CAB" w:rsidRDefault="00FA185A" w:rsidP="00B514BF">
      <w:pPr>
        <w:rPr>
          <w:rFonts w:ascii="Times New Roman" w:hAnsi="Times New Roman" w:cs="Times New Roman"/>
          <w:sz w:val="24"/>
          <w:szCs w:val="24"/>
        </w:rPr>
      </w:pPr>
    </w:p>
    <w:sectPr w:rsidR="00FA185A" w:rsidRPr="00DE4CAB" w:rsidSect="00D8579C">
      <w:head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E0F" w:rsidRDefault="00885E0F" w:rsidP="00101726">
      <w:pPr>
        <w:spacing w:after="0" w:line="240" w:lineRule="auto"/>
      </w:pPr>
      <w:r>
        <w:separator/>
      </w:r>
    </w:p>
  </w:endnote>
  <w:endnote w:type="continuationSeparator" w:id="0">
    <w:p w:rsidR="00885E0F" w:rsidRDefault="00885E0F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E0F" w:rsidRDefault="00885E0F" w:rsidP="00101726">
      <w:pPr>
        <w:spacing w:after="0" w:line="240" w:lineRule="auto"/>
      </w:pPr>
      <w:r>
        <w:separator/>
      </w:r>
    </w:p>
  </w:footnote>
  <w:footnote w:type="continuationSeparator" w:id="0">
    <w:p w:rsidR="00885E0F" w:rsidRDefault="00885E0F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80" w:rsidRDefault="005B1280">
    <w:pPr>
      <w:pStyle w:val="Sidhuvud"/>
    </w:pPr>
    <w:r>
      <w:t xml:space="preserve">Av: Emil Nygren </w:t>
    </w:r>
  </w:p>
  <w:p w:rsidR="005B1280" w:rsidRDefault="007527F0">
    <w:pPr>
      <w:pStyle w:val="Sidhuvud"/>
    </w:pPr>
    <w:r>
      <w:t>NN2</w:t>
    </w:r>
    <w:r w:rsidR="005B1280">
      <w:t>a</w:t>
    </w:r>
  </w:p>
  <w:p w:rsidR="005B1280" w:rsidRDefault="007527F0">
    <w:pPr>
      <w:pStyle w:val="Sidhuvud"/>
    </w:pPr>
    <w:r>
      <w:t>Labbkamrat: Sebastian Ghomri</w:t>
    </w:r>
    <w:r w:rsidR="005B1280">
      <w:t xml:space="preserve">                                    </w:t>
    </w:r>
    <w:r>
      <w:t xml:space="preserve">                              </w:t>
    </w:r>
    <w:r w:rsidR="00AF46A8">
      <w:t xml:space="preserve">                       Datum: 18</w:t>
    </w:r>
    <w:r>
      <w:t>/09</w:t>
    </w:r>
    <w:r w:rsidR="005B1280">
      <w:t xml:space="preserve"> 2012</w:t>
    </w:r>
  </w:p>
  <w:p w:rsidR="005B1280" w:rsidRDefault="005B1280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11E3"/>
    <w:multiLevelType w:val="hybridMultilevel"/>
    <w:tmpl w:val="B28672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4772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4640485"/>
    <w:multiLevelType w:val="hybridMultilevel"/>
    <w:tmpl w:val="1CA2EB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F5FD8"/>
    <w:multiLevelType w:val="hybridMultilevel"/>
    <w:tmpl w:val="6B1EDC1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A1794"/>
    <w:multiLevelType w:val="hybridMultilevel"/>
    <w:tmpl w:val="6E9A6D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33643"/>
    <w:multiLevelType w:val="hybridMultilevel"/>
    <w:tmpl w:val="C2C82F3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E3EA9"/>
    <w:multiLevelType w:val="hybridMultilevel"/>
    <w:tmpl w:val="D7CE9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ru v:ext="edit" colors="#b5b4b1"/>
      <o:colormenu v:ext="edit" fillcolor="#b5b4b1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66DC1"/>
    <w:rsid w:val="00070316"/>
    <w:rsid w:val="00096239"/>
    <w:rsid w:val="000A16EB"/>
    <w:rsid w:val="000B47EC"/>
    <w:rsid w:val="00101726"/>
    <w:rsid w:val="00111F9A"/>
    <w:rsid w:val="0011755C"/>
    <w:rsid w:val="001559B9"/>
    <w:rsid w:val="00170669"/>
    <w:rsid w:val="00185092"/>
    <w:rsid w:val="00187319"/>
    <w:rsid w:val="001A4251"/>
    <w:rsid w:val="001D51ED"/>
    <w:rsid w:val="001F66DF"/>
    <w:rsid w:val="0022096C"/>
    <w:rsid w:val="0024670E"/>
    <w:rsid w:val="00250894"/>
    <w:rsid w:val="002C265C"/>
    <w:rsid w:val="002D50A1"/>
    <w:rsid w:val="002D56F7"/>
    <w:rsid w:val="002E6AA7"/>
    <w:rsid w:val="002F7C80"/>
    <w:rsid w:val="003149CD"/>
    <w:rsid w:val="0032252D"/>
    <w:rsid w:val="00324042"/>
    <w:rsid w:val="0033659A"/>
    <w:rsid w:val="0034461C"/>
    <w:rsid w:val="003548FE"/>
    <w:rsid w:val="00376EFB"/>
    <w:rsid w:val="00382B23"/>
    <w:rsid w:val="00383FDE"/>
    <w:rsid w:val="003A7D9B"/>
    <w:rsid w:val="003B093C"/>
    <w:rsid w:val="003F13C7"/>
    <w:rsid w:val="00402F5C"/>
    <w:rsid w:val="00411DF1"/>
    <w:rsid w:val="00413C23"/>
    <w:rsid w:val="004449F3"/>
    <w:rsid w:val="0045413F"/>
    <w:rsid w:val="00484774"/>
    <w:rsid w:val="004911F1"/>
    <w:rsid w:val="004B1ED6"/>
    <w:rsid w:val="004C4118"/>
    <w:rsid w:val="005303C8"/>
    <w:rsid w:val="00555DD2"/>
    <w:rsid w:val="00565A42"/>
    <w:rsid w:val="00580FDF"/>
    <w:rsid w:val="005910A2"/>
    <w:rsid w:val="005B1280"/>
    <w:rsid w:val="005B4EFD"/>
    <w:rsid w:val="00612C5E"/>
    <w:rsid w:val="006163C1"/>
    <w:rsid w:val="00616EF5"/>
    <w:rsid w:val="00632133"/>
    <w:rsid w:val="0063484C"/>
    <w:rsid w:val="00636411"/>
    <w:rsid w:val="00640A91"/>
    <w:rsid w:val="00654483"/>
    <w:rsid w:val="0066259E"/>
    <w:rsid w:val="00690403"/>
    <w:rsid w:val="006C4917"/>
    <w:rsid w:val="006E420C"/>
    <w:rsid w:val="006E60E0"/>
    <w:rsid w:val="006E6870"/>
    <w:rsid w:val="006F35D2"/>
    <w:rsid w:val="00702200"/>
    <w:rsid w:val="007118BB"/>
    <w:rsid w:val="00733253"/>
    <w:rsid w:val="007359E4"/>
    <w:rsid w:val="007527F0"/>
    <w:rsid w:val="007556DB"/>
    <w:rsid w:val="00763BDC"/>
    <w:rsid w:val="007805CA"/>
    <w:rsid w:val="0079402C"/>
    <w:rsid w:val="00794227"/>
    <w:rsid w:val="007A6A75"/>
    <w:rsid w:val="007B174D"/>
    <w:rsid w:val="007C72B9"/>
    <w:rsid w:val="007D4E6A"/>
    <w:rsid w:val="00803F02"/>
    <w:rsid w:val="00811E2D"/>
    <w:rsid w:val="008170CC"/>
    <w:rsid w:val="008251A0"/>
    <w:rsid w:val="0082636E"/>
    <w:rsid w:val="00842243"/>
    <w:rsid w:val="00847F9C"/>
    <w:rsid w:val="00853240"/>
    <w:rsid w:val="00885E0F"/>
    <w:rsid w:val="008B0E60"/>
    <w:rsid w:val="008C3DA1"/>
    <w:rsid w:val="008D0D11"/>
    <w:rsid w:val="008D5868"/>
    <w:rsid w:val="00912CA6"/>
    <w:rsid w:val="00965E12"/>
    <w:rsid w:val="00980BA5"/>
    <w:rsid w:val="009A1144"/>
    <w:rsid w:val="00A1106A"/>
    <w:rsid w:val="00A13F6F"/>
    <w:rsid w:val="00A31F46"/>
    <w:rsid w:val="00A34D72"/>
    <w:rsid w:val="00A6344A"/>
    <w:rsid w:val="00A73439"/>
    <w:rsid w:val="00AA162C"/>
    <w:rsid w:val="00AB2C41"/>
    <w:rsid w:val="00AB5FC9"/>
    <w:rsid w:val="00AF46A8"/>
    <w:rsid w:val="00B03EC6"/>
    <w:rsid w:val="00B16636"/>
    <w:rsid w:val="00B277F6"/>
    <w:rsid w:val="00B30D06"/>
    <w:rsid w:val="00B514BF"/>
    <w:rsid w:val="00B52E49"/>
    <w:rsid w:val="00B907BB"/>
    <w:rsid w:val="00BC198D"/>
    <w:rsid w:val="00BD3055"/>
    <w:rsid w:val="00BE0570"/>
    <w:rsid w:val="00BE1725"/>
    <w:rsid w:val="00BE3444"/>
    <w:rsid w:val="00C015B4"/>
    <w:rsid w:val="00C10F2A"/>
    <w:rsid w:val="00C16039"/>
    <w:rsid w:val="00C2396C"/>
    <w:rsid w:val="00C61515"/>
    <w:rsid w:val="00C6558E"/>
    <w:rsid w:val="00C67680"/>
    <w:rsid w:val="00C720A5"/>
    <w:rsid w:val="00C73036"/>
    <w:rsid w:val="00C93334"/>
    <w:rsid w:val="00CA3D5A"/>
    <w:rsid w:val="00CB36E7"/>
    <w:rsid w:val="00CB472B"/>
    <w:rsid w:val="00D06515"/>
    <w:rsid w:val="00D1471D"/>
    <w:rsid w:val="00D17BE1"/>
    <w:rsid w:val="00D46FD0"/>
    <w:rsid w:val="00D557E1"/>
    <w:rsid w:val="00D64B25"/>
    <w:rsid w:val="00D64E04"/>
    <w:rsid w:val="00D80F57"/>
    <w:rsid w:val="00D82456"/>
    <w:rsid w:val="00D83A6A"/>
    <w:rsid w:val="00D8579C"/>
    <w:rsid w:val="00D97E9B"/>
    <w:rsid w:val="00DB778B"/>
    <w:rsid w:val="00DE4CAB"/>
    <w:rsid w:val="00E040AF"/>
    <w:rsid w:val="00E16B4D"/>
    <w:rsid w:val="00E21003"/>
    <w:rsid w:val="00E361D2"/>
    <w:rsid w:val="00E37467"/>
    <w:rsid w:val="00E51A59"/>
    <w:rsid w:val="00E56619"/>
    <w:rsid w:val="00E70895"/>
    <w:rsid w:val="00E72B76"/>
    <w:rsid w:val="00E84525"/>
    <w:rsid w:val="00EC2849"/>
    <w:rsid w:val="00ED73B6"/>
    <w:rsid w:val="00EF11A8"/>
    <w:rsid w:val="00F00DCA"/>
    <w:rsid w:val="00F176F9"/>
    <w:rsid w:val="00F2295B"/>
    <w:rsid w:val="00F274C2"/>
    <w:rsid w:val="00F5702B"/>
    <w:rsid w:val="00F8226F"/>
    <w:rsid w:val="00F86B34"/>
    <w:rsid w:val="00FA185A"/>
    <w:rsid w:val="00FA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#b5b4b1"/>
      <o:colormenu v:ext="edit" fillcolor="#b5b4b1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D55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e.se/excitation/165924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n.wikipedia.org/wiki/Excitation_spectru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NN2a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5.xml><?xml version="1.0" encoding="utf-8"?>
<ds:datastoreItem xmlns:ds="http://schemas.openxmlformats.org/officeDocument/2006/customXml" ds:itemID="{AEA94059-92ED-4C86-8F4A-BA9E60F7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404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    Excitation av alkalisalter</vt:lpstr>
    </vt:vector>
  </TitlesOfParts>
  <Company>Nacka Gymnasium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    Excitation av salter</dc:title>
  <dc:subject>Nacka Gymnasium</dc:subject>
  <dc:creator>Emil Nygren</dc:creator>
  <cp:keywords/>
  <dc:description/>
  <cp:lastModifiedBy>emil.r.nygren</cp:lastModifiedBy>
  <cp:revision>3</cp:revision>
  <cp:lastPrinted>2012-02-16T11:04:00Z</cp:lastPrinted>
  <dcterms:created xsi:type="dcterms:W3CDTF">2012-09-17T17:53:00Z</dcterms:created>
  <dcterms:modified xsi:type="dcterms:W3CDTF">2012-09-20T20:17:00Z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  <property fmtid="{D5CDD505-2E9C-101B-9397-08002B2CF9AE}" pid="4" name="Arbetsområde">
    <vt:lpwstr/>
  </property>
  <property fmtid="{D5CDD505-2E9C-101B-9397-08002B2CF9AE}" pid="5" name="UrkundResult">
    <vt:lpwstr/>
  </property>
  <property fmtid="{D5CDD505-2E9C-101B-9397-08002B2CF9AE}" pid="6" name="Utökad beskrivning">
    <vt:lpwstr/>
  </property>
  <property fmtid="{D5CDD505-2E9C-101B-9397-08002B2CF9AE}" pid="7" name="Elevkommentar">
    <vt:lpwstr/>
  </property>
  <property fmtid="{D5CDD505-2E9C-101B-9397-08002B2CF9AE}" pid="8" name="Lärarkommentar">
    <vt:lpwstr>Metoddelen saknar beskrivning. Hur gick utvärderingen av mätresultaten till? För mer information, se kommentarerna i texten.</vt:lpwstr>
  </property>
  <property fmtid="{D5CDD505-2E9C-101B-9397-08002B2CF9AE}" pid="9" name="Lärarstatus">
    <vt:lpwstr>Klar</vt:lpwstr>
  </property>
</Properties>
</file>