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C62BB8">
          <w:r>
            <w:rPr>
              <w:noProof/>
              <w:lang w:eastAsia="sv-SE"/>
            </w:rPr>
            <w:pict>
              <v:rect id="_x0000_s1086" style="position:absolute;margin-left:39pt;margin-top:-172.85pt;width:453.5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293590637"/>
                        <w:dataBinding w:prefixMappings="xmlns:ns0='http://schemas.openxmlformats.org/package/2006/metadata/core-properties' xmlns:ns1='http://purl.org/dc/elements/1.1/'" w:xpath="/ns0:coreProperties[1]/ns1:title[1]" w:storeItemID="{6C3C8BC8-F283-45AE-878A-BAB7291924A1}"/>
                        <w:text/>
                      </w:sdtPr>
                      <w:sdtContent>
                        <w:p w:rsidR="005B1280" w:rsidRPr="00DE4CAB" w:rsidRDefault="00F8226F">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 xml:space="preserve">Labbrapport-      </w:t>
                          </w:r>
                          <w:r>
                            <w:rPr>
                              <w:rFonts w:ascii="Times New Roman" w:hAnsi="Times New Roman" w:cs="Times New Roman"/>
                              <w:b/>
                              <w:bCs/>
                              <w:color w:val="1F497D" w:themeColor="text2"/>
                              <w:sz w:val="72"/>
                              <w:szCs w:val="72"/>
                            </w:rPr>
                            <w:t xml:space="preserve">    </w:t>
                          </w:r>
                          <w:r w:rsidR="008F6FC4">
                            <w:rPr>
                              <w:rFonts w:ascii="Times New Roman" w:hAnsi="Times New Roman" w:cs="Times New Roman"/>
                              <w:b/>
                              <w:bCs/>
                              <w:color w:val="1F497D" w:themeColor="text2"/>
                              <w:sz w:val="72"/>
                              <w:szCs w:val="72"/>
                            </w:rPr>
                            <w:t>Jämviktsexperiment</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5B1280" w:rsidRPr="00DE4CAB" w:rsidRDefault="005B1280">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5B1280" w:rsidRPr="00DE4CAB" w:rsidRDefault="005B1280">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5B1280" w:rsidRDefault="005B1280">
                      <w:pPr>
                        <w:rPr>
                          <w:b/>
                          <w:bCs/>
                          <w:color w:val="808080" w:themeColor="text1" w:themeTint="7F"/>
                          <w:sz w:val="32"/>
                          <w:szCs w:val="32"/>
                        </w:rPr>
                      </w:pPr>
                    </w:p>
                    <w:p w:rsidR="005B1280" w:rsidRDefault="005B1280"/>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C62BB8">
          <w:pPr>
            <w:rPr>
              <w:rFonts w:asciiTheme="majorHAnsi" w:eastAsiaTheme="majorEastAsia" w:hAnsiTheme="majorHAnsi" w:cstheme="majorBidi"/>
              <w:caps/>
            </w:rPr>
          </w:pPr>
          <w:r w:rsidRPr="00C62BB8">
            <w:rPr>
              <w:rFonts w:ascii="Times New Roman" w:eastAsiaTheme="majorEastAsia" w:hAnsi="Times New Roman" w:cs="Times New Roman"/>
              <w:caps/>
              <w:noProof/>
              <w:lang w:eastAsia="sv-SE"/>
            </w:rPr>
            <w:pict>
              <v:rect id="_x0000_s1085" style="position:absolute;margin-left:259.85pt;margin-top:506.85pt;width:243.1pt;height:80.65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293590638"/>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5B1280" w:rsidRDefault="008F6FC4">
                          <w:pPr>
                            <w:jc w:val="right"/>
                            <w:rPr>
                              <w:sz w:val="96"/>
                              <w:szCs w:val="96"/>
                            </w:rPr>
                          </w:pPr>
                          <w:r>
                            <w:rPr>
                              <w:rFonts w:ascii="Times New Roman" w:hAnsi="Times New Roman" w:cs="Times New Roman"/>
                              <w:sz w:val="96"/>
                              <w:szCs w:val="96"/>
                            </w:rPr>
                            <w:t>NN3</w:t>
                          </w:r>
                          <w:r w:rsidR="005B1280" w:rsidRPr="00DE4CAB">
                            <w:rPr>
                              <w:rFonts w:ascii="Times New Roman" w:hAnsi="Times New Roman" w:cs="Times New Roman"/>
                              <w:sz w:val="96"/>
                              <w:szCs w:val="96"/>
                            </w:rPr>
                            <w:t>a</w:t>
                          </w:r>
                        </w:p>
                      </w:sdtContent>
                    </w:sdt>
                  </w:txbxContent>
                </v:textbox>
                <w10:wrap anchorx="margin" anchory="margin"/>
              </v:rect>
            </w:pict>
          </w:r>
          <w:r w:rsidRPr="00C62BB8">
            <w:rPr>
              <w:rFonts w:ascii="Times New Roman" w:eastAsiaTheme="majorEastAsia" w:hAnsi="Times New Roman" w:cs="Times New Roman"/>
              <w:caps/>
              <w:noProof/>
              <w:lang w:eastAsia="sv-SE"/>
            </w:rPr>
            <w:pict>
              <v:group id="_x0000_s1073" style="position:absolute;margin-left:-70.4pt;margin-top:417.8pt;width:595pt;height:252.2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8F6FC4">
        <w:rPr>
          <w:rFonts w:ascii="Times New Roman" w:hAnsi="Times New Roman" w:cs="Times New Roman"/>
          <w:sz w:val="44"/>
          <w:szCs w:val="44"/>
        </w:rPr>
        <w:t>Jämviktsexper</w:t>
      </w:r>
      <w:r w:rsidR="00EF28CB">
        <w:rPr>
          <w:rFonts w:ascii="Times New Roman" w:hAnsi="Times New Roman" w:cs="Times New Roman"/>
          <w:sz w:val="44"/>
          <w:szCs w:val="44"/>
        </w:rPr>
        <w:t>i</w:t>
      </w:r>
      <w:r w:rsidR="008F6FC4">
        <w:rPr>
          <w:rFonts w:ascii="Times New Roman" w:hAnsi="Times New Roman" w:cs="Times New Roman"/>
          <w:sz w:val="44"/>
          <w:szCs w:val="44"/>
        </w:rPr>
        <w:t>ment</w:t>
      </w:r>
    </w:p>
    <w:p w:rsidR="0011755C" w:rsidRPr="00853240" w:rsidRDefault="0011755C" w:rsidP="0011755C">
      <w:pPr>
        <w:rPr>
          <w:rFonts w:ascii="Times New Roman" w:hAnsi="Times New Roman" w:cs="Times New Roman"/>
          <w:sz w:val="24"/>
          <w:szCs w:val="24"/>
        </w:rPr>
      </w:pPr>
    </w:p>
    <w:p w:rsidR="0011755C"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7A6A75" w:rsidRPr="00E84525" w:rsidRDefault="00E84525" w:rsidP="004C4118">
      <w:pPr>
        <w:rPr>
          <w:rFonts w:ascii="Times New Roman" w:hAnsi="Times New Roman" w:cs="Times New Roman"/>
        </w:rPr>
      </w:pPr>
      <w:r w:rsidRPr="00E84525">
        <w:rPr>
          <w:rFonts w:ascii="Times New Roman" w:hAnsi="Times New Roman" w:cs="Times New Roman"/>
        </w:rPr>
        <w:t>I denna</w:t>
      </w:r>
      <w:r>
        <w:rPr>
          <w:rFonts w:ascii="Times New Roman" w:hAnsi="Times New Roman" w:cs="Times New Roman"/>
        </w:rPr>
        <w:t xml:space="preserve"> laboration studerade</w:t>
      </w:r>
      <w:r w:rsidR="00580FDF">
        <w:rPr>
          <w:rFonts w:ascii="Times New Roman" w:hAnsi="Times New Roman" w:cs="Times New Roman"/>
        </w:rPr>
        <w:t xml:space="preserve"> vi </w:t>
      </w:r>
      <w:r w:rsidR="008F6FC4">
        <w:rPr>
          <w:rFonts w:ascii="Times New Roman" w:hAnsi="Times New Roman" w:cs="Times New Roman"/>
        </w:rPr>
        <w:t>hur jämviktsläget hos en reaktion kan förskjutas.</w:t>
      </w:r>
    </w:p>
    <w:p w:rsidR="00853240" w:rsidRDefault="00DE4CAB" w:rsidP="00DE4CAB">
      <w:pPr>
        <w:pStyle w:val="Rubrik1"/>
        <w:rPr>
          <w:rFonts w:ascii="Times New Roman" w:hAnsi="Times New Roman" w:cs="Times New Roman"/>
        </w:rPr>
      </w:pPr>
      <w:r w:rsidRPr="00DE4CAB">
        <w:rPr>
          <w:rFonts w:ascii="Times New Roman" w:hAnsi="Times New Roman" w:cs="Times New Roman"/>
        </w:rPr>
        <w:t>Introduktion</w:t>
      </w:r>
    </w:p>
    <w:p w:rsidR="000A16EB" w:rsidRDefault="00AE299A" w:rsidP="008F6FC4">
      <w:r>
        <w:t>I den här laborationen studerades</w:t>
      </w:r>
      <w:r w:rsidR="005F78C4">
        <w:t xml:space="preserve"> förskjutning av jämvikt för re</w:t>
      </w:r>
      <w:r>
        <w:t>a</w:t>
      </w:r>
      <w:r w:rsidR="005F78C4">
        <w:t>k</w:t>
      </w:r>
      <w:r>
        <w:t>tio</w:t>
      </w:r>
      <w:r w:rsidR="005F78C4">
        <w:t>ne</w:t>
      </w:r>
      <w:r>
        <w:t>n mellan järn(III)joner och tiocyanat enligt formlen:</w:t>
      </w:r>
    </w:p>
    <w:p w:rsidR="00AE299A" w:rsidRDefault="00C62BB8" w:rsidP="008F6FC4">
      <w:pPr>
        <w:rPr>
          <w:rFonts w:eastAsiaTheme="minorEastAsia"/>
        </w:rPr>
      </w:pPr>
      <m:oMathPara>
        <m:oMath>
          <m:sSup>
            <m:sSupPr>
              <m:ctrlPr>
                <w:rPr>
                  <w:rFonts w:ascii="Cambria Math" w:hAnsi="Cambria Math"/>
                  <w:i/>
                </w:rPr>
              </m:ctrlPr>
            </m:sSupPr>
            <m:e>
              <m:r>
                <w:rPr>
                  <w:rFonts w:ascii="Cambria Math" w:hAnsi="Cambria Math"/>
                </w:rPr>
                <m:t>Fe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SCN</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FeSCN</m:t>
              </m:r>
            </m:e>
            <m:sup>
              <m:r>
                <w:rPr>
                  <w:rFonts w:ascii="Cambria Math" w:hAnsi="Cambria Math"/>
                </w:rPr>
                <m:t>2-</m:t>
              </m:r>
            </m:sup>
          </m:sSup>
        </m:oMath>
      </m:oMathPara>
    </w:p>
    <w:p w:rsidR="00263E63" w:rsidRDefault="00263E63" w:rsidP="00263E63">
      <w:pPr>
        <w:rPr>
          <w:rFonts w:ascii="Times New Roman" w:hAnsi="Times New Roman" w:cs="Times New Roman"/>
          <w:sz w:val="24"/>
          <w:szCs w:val="24"/>
        </w:rPr>
      </w:pPr>
      <w:r w:rsidRPr="00263E63">
        <w:rPr>
          <w:rFonts w:ascii="Times New Roman" w:hAnsi="Times New Roman" w:cs="Times New Roman"/>
          <w:sz w:val="24"/>
          <w:szCs w:val="24"/>
        </w:rPr>
        <w:t>En lösning av järn(III)joner ger en gul färg och</w:t>
      </w:r>
      <w:r>
        <w:rPr>
          <w:rFonts w:ascii="Times New Roman" w:hAnsi="Times New Roman" w:cs="Times New Roman"/>
          <w:sz w:val="24"/>
          <w:szCs w:val="24"/>
        </w:rPr>
        <w:t xml:space="preserve"> lösning av järn(III) tiocyanat ger en mörkröd färg, se bild</w:t>
      </w:r>
      <w:r w:rsidR="005F78C4">
        <w:rPr>
          <w:rFonts w:ascii="Times New Roman" w:hAnsi="Times New Roman" w:cs="Times New Roman"/>
          <w:sz w:val="24"/>
          <w:szCs w:val="24"/>
        </w:rPr>
        <w:t xml:space="preserve"> 1</w:t>
      </w:r>
      <w:r>
        <w:rPr>
          <w:rFonts w:ascii="Times New Roman" w:hAnsi="Times New Roman" w:cs="Times New Roman"/>
          <w:sz w:val="24"/>
          <w:szCs w:val="24"/>
        </w:rPr>
        <w:t xml:space="preserve"> nedan. I detta experiment användes färgförändringen för att identifiera förskjutningen av jämviktsläget. </w:t>
      </w:r>
    </w:p>
    <w:p w:rsidR="000C325A" w:rsidRDefault="000C325A" w:rsidP="00263E63">
      <w:pPr>
        <w:rPr>
          <w:rFonts w:ascii="Times New Roman" w:hAnsi="Times New Roman" w:cs="Times New Roman"/>
          <w:sz w:val="24"/>
          <w:szCs w:val="24"/>
        </w:rPr>
      </w:pPr>
      <w:r>
        <w:rPr>
          <w:rFonts w:ascii="Times New Roman" w:hAnsi="Times New Roman" w:cs="Times New Roman"/>
          <w:sz w:val="24"/>
          <w:szCs w:val="24"/>
        </w:rPr>
        <w:t>Silverjonerna bildar ett vitt svårlösligt salt AgSCN med tiocyanatjonerna.</w:t>
      </w:r>
    </w:p>
    <w:p w:rsidR="000C325A" w:rsidRDefault="000C325A" w:rsidP="00263E6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Ag</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SCN</m:t>
              </m:r>
            </m:e>
            <m:sup>
              <m:r>
                <w:rPr>
                  <w:rFonts w:ascii="Cambria Math" w:hAnsi="Cambria Math" w:cs="Times New Roman"/>
                  <w:sz w:val="24"/>
                  <w:szCs w:val="24"/>
                </w:rPr>
                <m:t>-</m:t>
              </m:r>
            </m:sup>
          </m:sSup>
          <m:r>
            <w:rPr>
              <w:rFonts w:ascii="Cambria Math" w:hAnsi="Cambria Math" w:cs="Times New Roman"/>
              <w:sz w:val="24"/>
              <w:szCs w:val="24"/>
            </w:rPr>
            <m:t>→AgSCN (s)</m:t>
          </m:r>
        </m:oMath>
      </m:oMathPara>
    </w:p>
    <w:p w:rsidR="000C325A" w:rsidRDefault="00246138" w:rsidP="00263E63">
      <w:pPr>
        <w:rPr>
          <w:rFonts w:ascii="Times New Roman" w:hAnsi="Times New Roman" w:cs="Times New Roman"/>
          <w:sz w:val="24"/>
          <w:szCs w:val="24"/>
        </w:rPr>
      </w:pPr>
      <w:r>
        <w:rPr>
          <w:rFonts w:ascii="Times New Roman" w:hAnsi="Times New Roman" w:cs="Times New Roman"/>
          <w:sz w:val="24"/>
          <w:szCs w:val="24"/>
        </w:rPr>
        <w:t>Fl</w:t>
      </w:r>
      <w:r w:rsidR="000C325A">
        <w:rPr>
          <w:rFonts w:ascii="Times New Roman" w:hAnsi="Times New Roman" w:cs="Times New Roman"/>
          <w:sz w:val="24"/>
          <w:szCs w:val="24"/>
        </w:rPr>
        <w:t>u</w:t>
      </w:r>
      <w:r>
        <w:rPr>
          <w:rFonts w:ascii="Times New Roman" w:hAnsi="Times New Roman" w:cs="Times New Roman"/>
          <w:sz w:val="24"/>
          <w:szCs w:val="24"/>
        </w:rPr>
        <w:t>o</w:t>
      </w:r>
      <w:r w:rsidR="000C325A">
        <w:rPr>
          <w:rFonts w:ascii="Times New Roman" w:hAnsi="Times New Roman" w:cs="Times New Roman"/>
          <w:sz w:val="24"/>
          <w:szCs w:val="24"/>
        </w:rPr>
        <w:t>ridjonerna bildar ett ofärgat komplex med med järnjonerna.</w:t>
      </w:r>
    </w:p>
    <w:p w:rsidR="000C325A" w:rsidRDefault="000C325A" w:rsidP="00263E63">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3+</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FeF</m:t>
              </m:r>
            </m:e>
            <m:sub>
              <m:r>
                <w:rPr>
                  <w:rFonts w:ascii="Cambria Math" w:hAnsi="Cambria Math" w:cs="Times New Roman"/>
                  <w:sz w:val="24"/>
                  <w:szCs w:val="24"/>
                </w:rPr>
                <m:t>6</m:t>
              </m:r>
            </m:sub>
            <m:sup>
              <m:r>
                <w:rPr>
                  <w:rFonts w:ascii="Cambria Math" w:hAnsi="Cambria Math" w:cs="Times New Roman"/>
                  <w:sz w:val="24"/>
                  <w:szCs w:val="24"/>
                </w:rPr>
                <m:t>3-</m:t>
              </m:r>
            </m:sup>
          </m:sSubSup>
        </m:oMath>
      </m:oMathPara>
    </w:p>
    <w:p w:rsidR="00AE299A" w:rsidRPr="000C325A" w:rsidRDefault="005F78C4" w:rsidP="008F6FC4">
      <w:pPr>
        <w:rPr>
          <w:rFonts w:ascii="Times New Roman" w:hAnsi="Times New Roman" w:cs="Times New Roman"/>
          <w:sz w:val="24"/>
          <w:szCs w:val="24"/>
        </w:rPr>
      </w:pPr>
      <w:r>
        <w:rPr>
          <w:rFonts w:ascii="Times New Roman" w:hAnsi="Times New Roman" w:cs="Times New Roman"/>
          <w:sz w:val="24"/>
          <w:szCs w:val="24"/>
        </w:rPr>
        <w:t xml:space="preserve">Enligt Le Chatteliers princip så kommer förskjutning av jämviktsläget gå åt det håll så att rubbningen kommer motverkas. Om man exempelvis fyller på med en av reaktanterna så kommer jämvikten förskjutas åt produkterna. </w:t>
      </w:r>
      <w:r w:rsidR="003406CA">
        <w:rPr>
          <w:rFonts w:ascii="Times New Roman" w:hAnsi="Times New Roman" w:cs="Times New Roman"/>
          <w:sz w:val="24"/>
          <w:szCs w:val="24"/>
        </w:rPr>
        <w:t xml:space="preserve"> Vi fokuserade på att förskjuta reaktionen genom att ändra mängden av antingen reaktanterna eller produkterna. </w:t>
      </w:r>
    </w:p>
    <w:p w:rsidR="000A16EB" w:rsidRDefault="0032252D" w:rsidP="0032252D">
      <w:pPr>
        <w:pStyle w:val="Rubrik2"/>
      </w:pPr>
      <w:r>
        <w:t>Bild</w:t>
      </w:r>
      <w:r w:rsidR="00263E63">
        <w:t xml:space="preserve"> 1:</w:t>
      </w:r>
    </w:p>
    <w:p w:rsidR="0032252D" w:rsidRPr="0032252D" w:rsidRDefault="00B607FE" w:rsidP="0032252D">
      <w:r>
        <w:rPr>
          <w:noProof/>
          <w:lang w:eastAsia="sv-SE"/>
        </w:rPr>
        <w:drawing>
          <wp:anchor distT="0" distB="0" distL="114300" distR="114300" simplePos="0" relativeHeight="251671552" behindDoc="0" locked="0" layoutInCell="1" allowOverlap="1">
            <wp:simplePos x="0" y="0"/>
            <wp:positionH relativeFrom="column">
              <wp:posOffset>-185420</wp:posOffset>
            </wp:positionH>
            <wp:positionV relativeFrom="paragraph">
              <wp:posOffset>140970</wp:posOffset>
            </wp:positionV>
            <wp:extent cx="2190750" cy="2724150"/>
            <wp:effectExtent l="19050" t="0" r="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90750" cy="2724150"/>
                    </a:xfrm>
                    <a:prstGeom prst="rect">
                      <a:avLst/>
                    </a:prstGeom>
                    <a:noFill/>
                    <a:ln w="9525">
                      <a:noFill/>
                      <a:miter lim="800000"/>
                      <a:headEnd/>
                      <a:tailEnd/>
                    </a:ln>
                  </pic:spPr>
                </pic:pic>
              </a:graphicData>
            </a:graphic>
          </wp:anchor>
        </w:drawing>
      </w:r>
    </w:p>
    <w:p w:rsidR="000C325A" w:rsidRDefault="000C325A" w:rsidP="000C325A"/>
    <w:p w:rsidR="000C325A" w:rsidRDefault="000C325A" w:rsidP="000C325A"/>
    <w:p w:rsidR="000C325A" w:rsidRPr="000C325A" w:rsidRDefault="000C325A" w:rsidP="000C325A"/>
    <w:p w:rsidR="00B52E49" w:rsidRPr="00B52E49" w:rsidRDefault="00263E63" w:rsidP="000C325A">
      <w:pPr>
        <w:pStyle w:val="Rubrik4"/>
      </w:pPr>
      <w:r>
        <w:t>Bild 1: Till vänster en lösning av järn(III)joner och till höger en lösning av järn(III)tiocyanat.</w:t>
      </w:r>
    </w:p>
    <w:p w:rsidR="00B52E49" w:rsidRDefault="00F176F9" w:rsidP="0032252D">
      <w:pPr>
        <w:pStyle w:val="Rubrik2"/>
      </w:pPr>
      <w:r>
        <w:t xml:space="preserve"> </w:t>
      </w:r>
    </w:p>
    <w:p w:rsidR="000C325A" w:rsidRPr="000C325A" w:rsidRDefault="000C325A" w:rsidP="000C325A"/>
    <w:p w:rsidR="0011755C" w:rsidRPr="00F626C3" w:rsidRDefault="0011755C" w:rsidP="0032252D">
      <w:pPr>
        <w:pStyle w:val="Rubrik2"/>
        <w:rPr>
          <w:rFonts w:ascii="Times New Roman" w:hAnsi="Times New Roman" w:cs="Times New Roman"/>
        </w:rPr>
      </w:pPr>
      <w:r w:rsidRPr="00F626C3">
        <w:rPr>
          <w:rFonts w:ascii="Times New Roman" w:hAnsi="Times New Roman" w:cs="Times New Roman"/>
        </w:rPr>
        <w:lastRenderedPageBreak/>
        <w:t>Metod:</w:t>
      </w:r>
    </w:p>
    <w:p w:rsidR="0011755C" w:rsidRPr="00F626C3" w:rsidRDefault="0011755C" w:rsidP="0011755C">
      <w:pPr>
        <w:pStyle w:val="Rubrik2"/>
        <w:rPr>
          <w:rFonts w:ascii="Times New Roman" w:hAnsi="Times New Roman" w:cs="Times New Roman"/>
        </w:rPr>
      </w:pPr>
      <w:r w:rsidRPr="00F626C3">
        <w:rPr>
          <w:rFonts w:ascii="Times New Roman" w:hAnsi="Times New Roman" w:cs="Times New Roman"/>
        </w:rPr>
        <w:t>Materiel</w:t>
      </w:r>
    </w:p>
    <w:p w:rsidR="00ED73B6" w:rsidRPr="00F626C3" w:rsidRDefault="008F6FC4" w:rsidP="00ED73B6">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Mätpipett</w:t>
      </w:r>
    </w:p>
    <w:p w:rsidR="008F6FC4" w:rsidRPr="00F626C3" w:rsidRDefault="008F6FC4" w:rsidP="00ED73B6">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Mätglas</w:t>
      </w:r>
    </w:p>
    <w:p w:rsidR="008F6FC4" w:rsidRPr="00F626C3" w:rsidRDefault="008F6FC4" w:rsidP="00ED73B6">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Bägare</w:t>
      </w:r>
    </w:p>
    <w:p w:rsidR="008F6FC4" w:rsidRPr="00F626C3" w:rsidRDefault="008F6FC4" w:rsidP="008F6FC4">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Provrörställ</w:t>
      </w:r>
    </w:p>
    <w:p w:rsidR="008F6FC4" w:rsidRPr="00F626C3" w:rsidRDefault="008F6FC4" w:rsidP="008F6FC4">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Provrör</w:t>
      </w:r>
    </w:p>
    <w:p w:rsidR="008F6FC4" w:rsidRPr="00F626C3" w:rsidRDefault="008F6FC4" w:rsidP="008F6FC4">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Järn(III)nitrat 0,1 M</w:t>
      </w:r>
    </w:p>
    <w:p w:rsidR="008F6FC4" w:rsidRPr="00F626C3" w:rsidRDefault="008F6FC4" w:rsidP="008F6FC4">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Kaliumtiocyanat 0,1 M</w:t>
      </w:r>
    </w:p>
    <w:p w:rsidR="008F6FC4" w:rsidRPr="00F626C3" w:rsidRDefault="008F6FC4" w:rsidP="008F6FC4">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Silvernitrat 0,1 M</w:t>
      </w:r>
    </w:p>
    <w:p w:rsidR="008F6FC4" w:rsidRPr="00F626C3" w:rsidRDefault="00246138" w:rsidP="008F6FC4">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Natriumfl</w:t>
      </w:r>
      <w:r w:rsidR="008F6FC4" w:rsidRPr="00F626C3">
        <w:rPr>
          <w:rFonts w:ascii="Times New Roman" w:hAnsi="Times New Roman" w:cs="Times New Roman"/>
          <w:sz w:val="24"/>
          <w:szCs w:val="24"/>
        </w:rPr>
        <w:t>u</w:t>
      </w:r>
      <w:r w:rsidRPr="00F626C3">
        <w:rPr>
          <w:rFonts w:ascii="Times New Roman" w:hAnsi="Times New Roman" w:cs="Times New Roman"/>
          <w:sz w:val="24"/>
          <w:szCs w:val="24"/>
        </w:rPr>
        <w:t>o</w:t>
      </w:r>
      <w:r w:rsidR="008F6FC4" w:rsidRPr="00F626C3">
        <w:rPr>
          <w:rFonts w:ascii="Times New Roman" w:hAnsi="Times New Roman" w:cs="Times New Roman"/>
          <w:sz w:val="24"/>
          <w:szCs w:val="24"/>
        </w:rPr>
        <w:t>rid 0,1 M</w:t>
      </w:r>
    </w:p>
    <w:p w:rsidR="008F6FC4" w:rsidRPr="00F626C3" w:rsidRDefault="008F6FC4" w:rsidP="008F6FC4">
      <w:pPr>
        <w:pStyle w:val="Liststycke"/>
        <w:numPr>
          <w:ilvl w:val="0"/>
          <w:numId w:val="1"/>
        </w:numPr>
        <w:rPr>
          <w:rFonts w:ascii="Times New Roman" w:hAnsi="Times New Roman" w:cs="Times New Roman"/>
          <w:sz w:val="24"/>
          <w:szCs w:val="24"/>
        </w:rPr>
      </w:pPr>
      <w:r w:rsidRPr="00F626C3">
        <w:rPr>
          <w:rFonts w:ascii="Times New Roman" w:hAnsi="Times New Roman" w:cs="Times New Roman"/>
          <w:sz w:val="24"/>
          <w:szCs w:val="24"/>
        </w:rPr>
        <w:t>Natriumklorid 0,1 M</w:t>
      </w:r>
    </w:p>
    <w:p w:rsidR="00484774" w:rsidRPr="00F626C3" w:rsidRDefault="00484774" w:rsidP="0011755C">
      <w:pPr>
        <w:pStyle w:val="Rubrik2"/>
        <w:rPr>
          <w:rFonts w:ascii="Times New Roman" w:hAnsi="Times New Roman" w:cs="Times New Roman"/>
        </w:rPr>
      </w:pPr>
    </w:p>
    <w:p w:rsidR="007556DB" w:rsidRPr="00F626C3" w:rsidRDefault="0011755C" w:rsidP="00ED73B6">
      <w:pPr>
        <w:pStyle w:val="Rubrik2"/>
        <w:rPr>
          <w:rFonts w:ascii="Times New Roman" w:hAnsi="Times New Roman" w:cs="Times New Roman"/>
        </w:rPr>
      </w:pPr>
      <w:r w:rsidRPr="00F626C3">
        <w:rPr>
          <w:rFonts w:ascii="Times New Roman" w:hAnsi="Times New Roman" w:cs="Times New Roman"/>
        </w:rPr>
        <w:t>Utförande</w:t>
      </w:r>
    </w:p>
    <w:p w:rsidR="00E37467" w:rsidRPr="00F626C3" w:rsidRDefault="00105C84" w:rsidP="00ED73B6">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5 cm</w:t>
      </w:r>
      <w:r w:rsidRPr="00F626C3">
        <w:rPr>
          <w:rFonts w:ascii="Times New Roman" w:hAnsi="Times New Roman" w:cs="Times New Roman"/>
          <w:sz w:val="24"/>
          <w:szCs w:val="24"/>
          <w:vertAlign w:val="superscript"/>
        </w:rPr>
        <w:t xml:space="preserve">3 </w:t>
      </w:r>
      <w:r w:rsidRPr="00F626C3">
        <w:rPr>
          <w:rFonts w:ascii="Times New Roman" w:hAnsi="Times New Roman" w:cs="Times New Roman"/>
          <w:sz w:val="24"/>
          <w:szCs w:val="24"/>
        </w:rPr>
        <w:t>Järn(III)nitratlösning blandades med kaliumtiocyanatlösning . Blandningen späddes med 300 cm</w:t>
      </w:r>
      <w:r w:rsidRPr="00F626C3">
        <w:rPr>
          <w:rFonts w:ascii="Times New Roman" w:hAnsi="Times New Roman" w:cs="Times New Roman"/>
          <w:sz w:val="24"/>
          <w:szCs w:val="24"/>
          <w:vertAlign w:val="superscript"/>
        </w:rPr>
        <w:t xml:space="preserve">3 </w:t>
      </w:r>
      <w:r w:rsidRPr="00F626C3">
        <w:rPr>
          <w:rFonts w:ascii="Times New Roman" w:hAnsi="Times New Roman" w:cs="Times New Roman"/>
          <w:sz w:val="24"/>
          <w:szCs w:val="24"/>
        </w:rPr>
        <w:t>vatten.</w:t>
      </w:r>
    </w:p>
    <w:p w:rsidR="00105C84" w:rsidRPr="00F626C3" w:rsidRDefault="00105C84" w:rsidP="00ED73B6">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Blandningen hälldes över till 5 olika provrör.</w:t>
      </w:r>
    </w:p>
    <w:p w:rsidR="00105C84" w:rsidRPr="00F626C3" w:rsidRDefault="00105C84" w:rsidP="00ED73B6">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 xml:space="preserve">Första röret användes som referens rör. </w:t>
      </w:r>
    </w:p>
    <w:p w:rsidR="00105C84" w:rsidRPr="00F626C3" w:rsidRDefault="00105C84" w:rsidP="00105C84">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Andra röret tillsattes mer järn(III)nitrat.</w:t>
      </w:r>
    </w:p>
    <w:p w:rsidR="00105C84" w:rsidRPr="00F626C3" w:rsidRDefault="00105C84" w:rsidP="00ED73B6">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Tredje röret tillsattes mer kaliumtiocyanat.</w:t>
      </w:r>
    </w:p>
    <w:p w:rsidR="00105C84" w:rsidRPr="00F626C3" w:rsidRDefault="00105C84" w:rsidP="00ED73B6">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Fjärde röret tillsattes mer silvernitrat.</w:t>
      </w:r>
    </w:p>
    <w:p w:rsidR="00105C84" w:rsidRPr="00F626C3" w:rsidRDefault="00105C84" w:rsidP="00ED73B6">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Femte</w:t>
      </w:r>
      <w:r w:rsidR="00246138" w:rsidRPr="00F626C3">
        <w:rPr>
          <w:rFonts w:ascii="Times New Roman" w:hAnsi="Times New Roman" w:cs="Times New Roman"/>
          <w:sz w:val="24"/>
          <w:szCs w:val="24"/>
        </w:rPr>
        <w:t xml:space="preserve"> röret tillsattes mer natriumfl</w:t>
      </w:r>
      <w:r w:rsidRPr="00F626C3">
        <w:rPr>
          <w:rFonts w:ascii="Times New Roman" w:hAnsi="Times New Roman" w:cs="Times New Roman"/>
          <w:sz w:val="24"/>
          <w:szCs w:val="24"/>
        </w:rPr>
        <w:t>u</w:t>
      </w:r>
      <w:r w:rsidR="00246138" w:rsidRPr="00F626C3">
        <w:rPr>
          <w:rFonts w:ascii="Times New Roman" w:hAnsi="Times New Roman" w:cs="Times New Roman"/>
          <w:sz w:val="24"/>
          <w:szCs w:val="24"/>
        </w:rPr>
        <w:t>o</w:t>
      </w:r>
      <w:r w:rsidRPr="00F626C3">
        <w:rPr>
          <w:rFonts w:ascii="Times New Roman" w:hAnsi="Times New Roman" w:cs="Times New Roman"/>
          <w:sz w:val="24"/>
          <w:szCs w:val="24"/>
        </w:rPr>
        <w:t>rid.</w:t>
      </w:r>
    </w:p>
    <w:p w:rsidR="00105C84" w:rsidRPr="00F626C3" w:rsidRDefault="00105C84" w:rsidP="00ED73B6">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Rörens förändringar observerades.</w:t>
      </w:r>
    </w:p>
    <w:p w:rsidR="00B52E49" w:rsidRPr="00F626C3" w:rsidRDefault="00105C84" w:rsidP="0011755C">
      <w:pPr>
        <w:pStyle w:val="Liststycke"/>
        <w:numPr>
          <w:ilvl w:val="0"/>
          <w:numId w:val="9"/>
        </w:numPr>
        <w:rPr>
          <w:rFonts w:ascii="Times New Roman" w:hAnsi="Times New Roman" w:cs="Times New Roman"/>
          <w:sz w:val="24"/>
          <w:szCs w:val="24"/>
        </w:rPr>
      </w:pPr>
      <w:r w:rsidRPr="00F626C3">
        <w:rPr>
          <w:rFonts w:ascii="Times New Roman" w:hAnsi="Times New Roman" w:cs="Times New Roman"/>
          <w:sz w:val="24"/>
          <w:szCs w:val="24"/>
        </w:rPr>
        <w:t>Därefter tillsattes natriumklorid till det fjärde röret och ändringen observerades.</w:t>
      </w:r>
    </w:p>
    <w:p w:rsidR="00B52E49" w:rsidRPr="00B52E49" w:rsidRDefault="00B52E49" w:rsidP="00B52E49"/>
    <w:p w:rsidR="00302FAD" w:rsidRDefault="00302FAD" w:rsidP="0011755C">
      <w:pPr>
        <w:pStyle w:val="Rubrik1"/>
        <w:rPr>
          <w:rFonts w:ascii="Times New Roman" w:hAnsi="Times New Roman" w:cs="Times New Roman"/>
        </w:rPr>
      </w:pPr>
    </w:p>
    <w:p w:rsidR="00302FAD" w:rsidRDefault="00302FAD" w:rsidP="0011755C">
      <w:pPr>
        <w:pStyle w:val="Rubrik1"/>
        <w:rPr>
          <w:rFonts w:ascii="Times New Roman" w:hAnsi="Times New Roman" w:cs="Times New Roman"/>
        </w:rPr>
      </w:pPr>
    </w:p>
    <w:p w:rsidR="00302FAD" w:rsidRDefault="00302FAD" w:rsidP="0011755C">
      <w:pPr>
        <w:pStyle w:val="Rubrik1"/>
        <w:rPr>
          <w:rFonts w:ascii="Times New Roman" w:hAnsi="Times New Roman" w:cs="Times New Roman"/>
        </w:rPr>
      </w:pPr>
    </w:p>
    <w:p w:rsidR="00302FAD" w:rsidRDefault="00302FAD" w:rsidP="00302FAD"/>
    <w:p w:rsidR="00302FAD" w:rsidRDefault="00302FAD" w:rsidP="00302FAD"/>
    <w:p w:rsidR="00302FAD" w:rsidRPr="00302FAD" w:rsidRDefault="00302FAD" w:rsidP="00302FAD"/>
    <w:p w:rsidR="0011755C" w:rsidRDefault="00105C84" w:rsidP="0011755C">
      <w:pPr>
        <w:pStyle w:val="Rubrik1"/>
        <w:rPr>
          <w:rFonts w:ascii="Times New Roman" w:hAnsi="Times New Roman" w:cs="Times New Roman"/>
        </w:rPr>
      </w:pPr>
      <w:r>
        <w:rPr>
          <w:rFonts w:ascii="Times New Roman" w:hAnsi="Times New Roman" w:cs="Times New Roman"/>
        </w:rPr>
        <w:lastRenderedPageBreak/>
        <w:t>Resul</w:t>
      </w:r>
      <w:r w:rsidR="0011755C" w:rsidRPr="00DE4CAB">
        <w:rPr>
          <w:rFonts w:ascii="Times New Roman" w:hAnsi="Times New Roman" w:cs="Times New Roman"/>
        </w:rPr>
        <w:t>tat:</w:t>
      </w:r>
    </w:p>
    <w:p w:rsidR="00D557E1" w:rsidRPr="006163C1" w:rsidRDefault="00302FAD" w:rsidP="00302FAD">
      <w:pPr>
        <w:pStyle w:val="Rubrik3"/>
      </w:pPr>
      <w:r>
        <w:t>Bild 2:</w:t>
      </w:r>
    </w:p>
    <w:p w:rsidR="00302FAD" w:rsidRDefault="003406CA" w:rsidP="00DB778B">
      <w:pPr>
        <w:rPr>
          <w:rFonts w:ascii="Times New Roman" w:hAnsi="Times New Roman" w:cs="Times New Roman"/>
        </w:rPr>
      </w:pPr>
      <w:r>
        <w:rPr>
          <w:rFonts w:ascii="Times New Roman" w:hAnsi="Times New Roman" w:cs="Times New Roman"/>
          <w:noProof/>
          <w:lang w:eastAsia="sv-SE"/>
        </w:rPr>
        <w:pict>
          <v:shapetype id="_x0000_t202" coordsize="21600,21600" o:spt="202" path="m,l,21600r21600,l21600,xe">
            <v:stroke joinstyle="miter"/>
            <v:path gradientshapeok="t" o:connecttype="rect"/>
          </v:shapetype>
          <v:shape id="_x0000_s1093" type="#_x0000_t202" style="position:absolute;margin-left:323.3pt;margin-top:261.5pt;width:22.95pt;height:32.65pt;z-index:251670528;mso-height-percent:200;mso-height-percent:200;mso-width-relative:margin;mso-height-relative:margin" filled="f" stroked="f">
            <v:textbox style="mso-next-textbox:#_x0000_s1093;mso-fit-shape-to-text:t">
              <w:txbxContent>
                <w:p w:rsidR="003406CA" w:rsidRPr="003406CA" w:rsidRDefault="003406CA" w:rsidP="003406CA">
                  <w:pPr>
                    <w:rPr>
                      <w:color w:val="000000" w:themeColor="text1"/>
                    </w:rPr>
                  </w:pPr>
                  <w:r>
                    <w:rPr>
                      <w:color w:val="000000" w:themeColor="text1"/>
                    </w:rPr>
                    <w:t>5</w:t>
                  </w:r>
                </w:p>
              </w:txbxContent>
            </v:textbox>
          </v:shape>
        </w:pict>
      </w:r>
      <w:r>
        <w:rPr>
          <w:noProof/>
          <w:lang w:eastAsia="sv-SE"/>
        </w:rPr>
        <w:pict>
          <v:shape id="_x0000_s1092" type="#_x0000_t202" style="position:absolute;margin-left:261.7pt;margin-top:261.5pt;width:22.95pt;height:32.65pt;z-index:251669504;mso-height-percent:200;mso-height-percent:200;mso-width-relative:margin;mso-height-relative:margin" filled="f" stroked="f">
            <v:textbox style="mso-next-textbox:#_x0000_s1092;mso-fit-shape-to-text:t">
              <w:txbxContent>
                <w:p w:rsidR="003406CA" w:rsidRPr="003406CA" w:rsidRDefault="003406CA" w:rsidP="003406CA">
                  <w:pPr>
                    <w:rPr>
                      <w:color w:val="000000" w:themeColor="text1"/>
                    </w:rPr>
                  </w:pPr>
                  <w:r>
                    <w:rPr>
                      <w:color w:val="000000" w:themeColor="text1"/>
                    </w:rPr>
                    <w:t>4</w:t>
                  </w:r>
                </w:p>
              </w:txbxContent>
            </v:textbox>
          </v:shape>
        </w:pict>
      </w:r>
      <w:r>
        <w:rPr>
          <w:noProof/>
          <w:lang w:eastAsia="sv-SE"/>
        </w:rPr>
        <w:pict>
          <v:shape id="_x0000_s1091" type="#_x0000_t202" style="position:absolute;margin-left:192.35pt;margin-top:261.5pt;width:22.95pt;height:32.65pt;z-index:251668480;mso-height-percent:200;mso-height-percent:200;mso-width-relative:margin;mso-height-relative:margin" filled="f" stroked="f">
            <v:textbox style="mso-next-textbox:#_x0000_s1091;mso-fit-shape-to-text:t">
              <w:txbxContent>
                <w:p w:rsidR="003406CA" w:rsidRPr="003406CA" w:rsidRDefault="003406CA" w:rsidP="003406CA">
                  <w:pPr>
                    <w:rPr>
                      <w:color w:val="FFFFFF" w:themeColor="background1"/>
                    </w:rPr>
                  </w:pPr>
                  <w:r>
                    <w:rPr>
                      <w:color w:val="FFFFFF" w:themeColor="background1"/>
                    </w:rPr>
                    <w:t>3</w:t>
                  </w:r>
                </w:p>
              </w:txbxContent>
            </v:textbox>
          </v:shape>
        </w:pict>
      </w:r>
      <w:r>
        <w:rPr>
          <w:rFonts w:ascii="Times New Roman" w:hAnsi="Times New Roman" w:cs="Times New Roman"/>
          <w:noProof/>
          <w:lang w:eastAsia="sv-SE"/>
        </w:rPr>
        <w:pict>
          <v:shape id="_x0000_s1090" type="#_x0000_t202" style="position:absolute;margin-left:129.7pt;margin-top:261.5pt;width:22.95pt;height:32.65pt;z-index:251667456;mso-height-percent:200;mso-height-percent:200;mso-width-relative:margin;mso-height-relative:margin" filled="f" stroked="f">
            <v:textbox style="mso-next-textbox:#_x0000_s1090;mso-fit-shape-to-text:t">
              <w:txbxContent>
                <w:p w:rsidR="003406CA" w:rsidRPr="003406CA" w:rsidRDefault="003406CA" w:rsidP="003406CA">
                  <w:pPr>
                    <w:rPr>
                      <w:color w:val="FFFFFF" w:themeColor="background1"/>
                    </w:rPr>
                  </w:pPr>
                  <w:r>
                    <w:rPr>
                      <w:color w:val="FFFFFF" w:themeColor="background1"/>
                    </w:rPr>
                    <w:t>2</w:t>
                  </w:r>
                </w:p>
              </w:txbxContent>
            </v:textbox>
          </v:shape>
        </w:pict>
      </w:r>
      <w:r w:rsidRPr="003406CA">
        <w:rPr>
          <w:rFonts w:ascii="Times New Roman" w:hAnsi="Times New Roman" w:cs="Times New Roman"/>
          <w:noProof/>
        </w:rPr>
        <w:pict>
          <v:shape id="_x0000_s1089" type="#_x0000_t202" style="position:absolute;margin-left:59.3pt;margin-top:261.5pt;width:22.95pt;height:32.65pt;z-index:251666432;mso-height-percent:200;mso-height-percent:200;mso-width-relative:margin;mso-height-relative:margin" filled="f" stroked="f">
            <v:textbox style="mso-next-textbox:#_x0000_s1089;mso-fit-shape-to-text:t">
              <w:txbxContent>
                <w:p w:rsidR="003406CA" w:rsidRPr="003406CA" w:rsidRDefault="003406CA">
                  <w:pPr>
                    <w:rPr>
                      <w:color w:val="FFFFFF" w:themeColor="background1"/>
                    </w:rPr>
                  </w:pPr>
                  <w:r w:rsidRPr="003406CA">
                    <w:rPr>
                      <w:color w:val="FFFFFF" w:themeColor="background1"/>
                    </w:rPr>
                    <w:t>1</w:t>
                  </w:r>
                </w:p>
              </w:txbxContent>
            </v:textbox>
          </v:shape>
        </w:pict>
      </w:r>
      <w:r w:rsidR="00C07562">
        <w:rPr>
          <w:rFonts w:ascii="Times New Roman" w:hAnsi="Times New Roman" w:cs="Times New Roman"/>
          <w:noProof/>
          <w:lang w:eastAsia="sv-SE"/>
        </w:rPr>
        <w:drawing>
          <wp:inline distT="0" distB="0" distL="0" distR="0">
            <wp:extent cx="5276850" cy="3957638"/>
            <wp:effectExtent l="19050" t="0" r="0" b="0"/>
            <wp:docPr id="1" name="Bildobjekt 0" descr="20140220_095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220_095912.jpg"/>
                    <pic:cNvPicPr/>
                  </pic:nvPicPr>
                  <pic:blipFill>
                    <a:blip r:embed="rId13" cstate="print"/>
                    <a:stretch>
                      <a:fillRect/>
                    </a:stretch>
                  </pic:blipFill>
                  <pic:spPr>
                    <a:xfrm>
                      <a:off x="0" y="0"/>
                      <a:ext cx="5275106" cy="3956330"/>
                    </a:xfrm>
                    <a:prstGeom prst="rect">
                      <a:avLst/>
                    </a:prstGeom>
                    <a:noFill/>
                  </pic:spPr>
                </pic:pic>
              </a:graphicData>
            </a:graphic>
          </wp:inline>
        </w:drawing>
      </w:r>
      <w:r w:rsidR="00DB778B">
        <w:rPr>
          <w:rFonts w:ascii="Times New Roman" w:hAnsi="Times New Roman" w:cs="Times New Roman"/>
        </w:rPr>
        <w:t xml:space="preserve">            </w:t>
      </w:r>
    </w:p>
    <w:p w:rsidR="00DB778B" w:rsidRPr="00B607FE" w:rsidRDefault="00302FAD" w:rsidP="00302FAD">
      <w:pPr>
        <w:pStyle w:val="Rubrik4"/>
        <w:jc w:val="center"/>
        <w:rPr>
          <w:rFonts w:ascii="Times New Roman" w:hAnsi="Times New Roman" w:cs="Times New Roman"/>
        </w:rPr>
      </w:pPr>
      <w:r w:rsidRPr="00B607FE">
        <w:rPr>
          <w:rFonts w:ascii="Times New Roman" w:hAnsi="Times New Roman" w:cs="Times New Roman"/>
        </w:rPr>
        <w:t>Bild 2 visar resultaten av rören från 1-5 från vänster till höger. Första röret är referensrör.</w:t>
      </w:r>
    </w:p>
    <w:p w:rsidR="000C325A" w:rsidRPr="00B607FE" w:rsidRDefault="003406CA" w:rsidP="003406CA">
      <w:pPr>
        <w:rPr>
          <w:rFonts w:ascii="Times New Roman" w:hAnsi="Times New Roman" w:cs="Times New Roman"/>
          <w:sz w:val="24"/>
          <w:szCs w:val="24"/>
        </w:rPr>
      </w:pPr>
      <w:r w:rsidRPr="00B607FE">
        <w:rPr>
          <w:rFonts w:ascii="Times New Roman" w:hAnsi="Times New Roman" w:cs="Times New Roman"/>
          <w:sz w:val="24"/>
          <w:szCs w:val="24"/>
        </w:rPr>
        <w:t>Rör 1: referensrör</w:t>
      </w:r>
      <w:r w:rsidR="000C325A" w:rsidRPr="00B607FE">
        <w:rPr>
          <w:rFonts w:ascii="Times New Roman" w:hAnsi="Times New Roman" w:cs="Times New Roman"/>
          <w:sz w:val="24"/>
          <w:szCs w:val="24"/>
        </w:rPr>
        <w:t>-orange</w:t>
      </w:r>
      <w:r w:rsidRPr="00B607FE">
        <w:rPr>
          <w:rFonts w:ascii="Times New Roman" w:hAnsi="Times New Roman" w:cs="Times New Roman"/>
          <w:sz w:val="24"/>
          <w:szCs w:val="24"/>
        </w:rPr>
        <w:br/>
        <w:t>Rör2: Mörkare röd</w:t>
      </w:r>
      <w:r w:rsidRPr="00B607FE">
        <w:rPr>
          <w:rFonts w:ascii="Times New Roman" w:hAnsi="Times New Roman" w:cs="Times New Roman"/>
          <w:sz w:val="24"/>
          <w:szCs w:val="24"/>
        </w:rPr>
        <w:br/>
        <w:t>Rör 3: Mörkare röd</w:t>
      </w:r>
      <w:r w:rsidRPr="00B607FE">
        <w:rPr>
          <w:rFonts w:ascii="Times New Roman" w:hAnsi="Times New Roman" w:cs="Times New Roman"/>
          <w:sz w:val="24"/>
          <w:szCs w:val="24"/>
        </w:rPr>
        <w:br/>
        <w:t xml:space="preserve">Rör 4: </w:t>
      </w:r>
      <w:r w:rsidR="00246138">
        <w:rPr>
          <w:rFonts w:ascii="Times New Roman" w:hAnsi="Times New Roman" w:cs="Times New Roman"/>
          <w:sz w:val="24"/>
          <w:szCs w:val="24"/>
        </w:rPr>
        <w:t>Ljusare lätt vit ( efter tillsatts av natriumklorid- vit fällning)</w:t>
      </w:r>
      <w:r w:rsidR="000C325A" w:rsidRPr="00B607FE">
        <w:rPr>
          <w:rFonts w:ascii="Times New Roman" w:hAnsi="Times New Roman" w:cs="Times New Roman"/>
          <w:sz w:val="24"/>
          <w:szCs w:val="24"/>
        </w:rPr>
        <w:br/>
        <w:t>Rör 5: Klart ljus</w:t>
      </w:r>
    </w:p>
    <w:p w:rsidR="003406CA" w:rsidRPr="00B607FE" w:rsidRDefault="003406CA" w:rsidP="003406CA">
      <w:pPr>
        <w:rPr>
          <w:rFonts w:ascii="Times New Roman" w:hAnsi="Times New Roman" w:cs="Times New Roman"/>
        </w:rPr>
      </w:pPr>
    </w:p>
    <w:p w:rsidR="003406CA" w:rsidRPr="00B607FE" w:rsidRDefault="0011755C" w:rsidP="0011755C">
      <w:pPr>
        <w:pStyle w:val="Rubrik1"/>
        <w:rPr>
          <w:rFonts w:ascii="Times New Roman" w:hAnsi="Times New Roman" w:cs="Times New Roman"/>
        </w:rPr>
      </w:pPr>
      <w:r w:rsidRPr="00B607FE">
        <w:rPr>
          <w:rFonts w:ascii="Times New Roman" w:hAnsi="Times New Roman" w:cs="Times New Roman"/>
        </w:rPr>
        <w:t>Diskussion:</w:t>
      </w:r>
    </w:p>
    <w:p w:rsidR="000C325A" w:rsidRDefault="00B607FE" w:rsidP="000C325A">
      <w:pPr>
        <w:rPr>
          <w:rFonts w:ascii="Times New Roman" w:hAnsi="Times New Roman" w:cs="Times New Roman"/>
          <w:sz w:val="24"/>
          <w:szCs w:val="24"/>
        </w:rPr>
      </w:pPr>
      <w:r w:rsidRPr="00B607FE">
        <w:rPr>
          <w:rFonts w:ascii="Times New Roman" w:hAnsi="Times New Roman" w:cs="Times New Roman"/>
          <w:sz w:val="24"/>
          <w:szCs w:val="24"/>
        </w:rPr>
        <w:t xml:space="preserve">I </w:t>
      </w:r>
      <w:r>
        <w:rPr>
          <w:rFonts w:ascii="Times New Roman" w:hAnsi="Times New Roman" w:cs="Times New Roman"/>
          <w:sz w:val="24"/>
          <w:szCs w:val="24"/>
        </w:rPr>
        <w:t xml:space="preserve">rör 2 </w:t>
      </w:r>
      <w:r w:rsidR="000C325A" w:rsidRPr="00B607FE">
        <w:rPr>
          <w:rFonts w:ascii="Times New Roman" w:hAnsi="Times New Roman" w:cs="Times New Roman"/>
          <w:sz w:val="24"/>
          <w:szCs w:val="24"/>
        </w:rPr>
        <w:t xml:space="preserve">tillsattes </w:t>
      </w:r>
      <w:r>
        <w:rPr>
          <w:rFonts w:ascii="Times New Roman" w:hAnsi="Times New Roman" w:cs="Times New Roman"/>
          <w:sz w:val="24"/>
          <w:szCs w:val="24"/>
        </w:rPr>
        <w:t>mer järnnitrat</w:t>
      </w:r>
      <w:r w:rsidR="00BA06A7">
        <w:rPr>
          <w:rFonts w:ascii="Times New Roman" w:hAnsi="Times New Roman" w:cs="Times New Roman"/>
          <w:sz w:val="24"/>
          <w:szCs w:val="24"/>
        </w:rPr>
        <w:t>, då tillsattes alltså mer av en reaktant, enligt Le chateliers princip kommer då reaktionen skjutas mot produkterna, för att motverka förändringen Det bildas då mer Järn(III)tiocyanat och lösningen blir mer mörkröd:</w:t>
      </w:r>
    </w:p>
    <w:p w:rsidR="00BA06A7" w:rsidRDefault="00BA06A7" w:rsidP="000C325A">
      <w:pPr>
        <w:rPr>
          <w:rFonts w:ascii="Times New Roman" w:eastAsiaTheme="minorEastAsia" w:hAnsi="Times New Roman" w:cs="Times New Roman"/>
        </w:rPr>
      </w:pPr>
      <m:oMathPara>
        <m:oMath>
          <m:sSup>
            <m:sSupPr>
              <m:ctrlPr>
                <w:rPr>
                  <w:rFonts w:ascii="Cambria Math" w:hAnsi="Cambria Math"/>
                  <w:i/>
                </w:rPr>
              </m:ctrlPr>
            </m:sSupPr>
            <m:e>
              <m:r>
                <w:rPr>
                  <w:rFonts w:ascii="Cambria Math" w:hAnsi="Cambria Math"/>
                </w:rPr>
                <m:t>Fe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SCN</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FeSCN</m:t>
              </m:r>
            </m:e>
            <m:sup>
              <m:r>
                <w:rPr>
                  <w:rFonts w:ascii="Cambria Math" w:hAnsi="Cambria Math"/>
                </w:rPr>
                <m:t>2-</m:t>
              </m:r>
            </m:sup>
          </m:sSup>
        </m:oMath>
      </m:oMathPara>
    </w:p>
    <w:p w:rsidR="00BA06A7" w:rsidRDefault="00BA06A7" w:rsidP="000C325A">
      <w:pPr>
        <w:rPr>
          <w:rFonts w:ascii="Times New Roman" w:hAnsi="Times New Roman" w:cs="Times New Roman"/>
          <w:sz w:val="24"/>
          <w:szCs w:val="24"/>
        </w:rPr>
      </w:pPr>
      <w:r>
        <w:rPr>
          <w:rFonts w:ascii="Times New Roman" w:hAnsi="Times New Roman" w:cs="Times New Roman"/>
          <w:sz w:val="24"/>
          <w:szCs w:val="24"/>
        </w:rPr>
        <w:t>I rör 3 tillsattes mer kaliumtiocyanat, det är också en av reaktanterna. Den här rekationens jämviktsläge förskjuts då också åt produkterna och lösningen blir rödare.</w:t>
      </w:r>
    </w:p>
    <w:p w:rsidR="00BA06A7" w:rsidRDefault="00BA06A7" w:rsidP="000C325A">
      <w:pPr>
        <w:rPr>
          <w:rFonts w:ascii="Times New Roman" w:eastAsiaTheme="minorEastAsia" w:hAnsi="Times New Roman" w:cs="Times New Roman"/>
        </w:rPr>
      </w:pPr>
      <m:oMathPara>
        <m:oMath>
          <m:sSup>
            <m:sSupPr>
              <m:ctrlPr>
                <w:rPr>
                  <w:rFonts w:ascii="Cambria Math" w:hAnsi="Cambria Math"/>
                  <w:i/>
                </w:rPr>
              </m:ctrlPr>
            </m:sSupPr>
            <m:e>
              <m:r>
                <w:rPr>
                  <w:rFonts w:ascii="Cambria Math" w:hAnsi="Cambria Math"/>
                </w:rPr>
                <m:t>Fe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SCN</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FeSCN</m:t>
              </m:r>
            </m:e>
            <m:sup>
              <m:r>
                <w:rPr>
                  <w:rFonts w:ascii="Cambria Math" w:hAnsi="Cambria Math"/>
                </w:rPr>
                <m:t>2-</m:t>
              </m:r>
            </m:sup>
          </m:sSup>
        </m:oMath>
      </m:oMathPara>
    </w:p>
    <w:p w:rsidR="00BA06A7" w:rsidRDefault="00BA06A7" w:rsidP="00BA06A7">
      <w:pPr>
        <w:rPr>
          <w:rFonts w:ascii="Times New Roman" w:hAnsi="Times New Roman" w:cs="Times New Roman"/>
          <w:sz w:val="24"/>
          <w:szCs w:val="24"/>
        </w:rPr>
      </w:pPr>
      <w:r>
        <w:rPr>
          <w:rFonts w:ascii="Times New Roman" w:eastAsiaTheme="minorEastAsia" w:hAnsi="Times New Roman" w:cs="Times New Roman"/>
        </w:rPr>
        <w:lastRenderedPageBreak/>
        <w:t xml:space="preserve">I rör 4 tillsattes silvernitrat, silverjonerna reagerar då med tiocyanatjonerna och </w:t>
      </w:r>
      <w:r>
        <w:rPr>
          <w:rFonts w:ascii="Times New Roman" w:hAnsi="Times New Roman" w:cs="Times New Roman"/>
          <w:sz w:val="24"/>
          <w:szCs w:val="24"/>
        </w:rPr>
        <w:t>bildar då ett vitt svårlösligt salt AgSCN.</w:t>
      </w:r>
    </w:p>
    <w:p w:rsidR="00BA06A7" w:rsidRDefault="00BA06A7" w:rsidP="00BA06A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Ag</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SCN</m:t>
              </m:r>
            </m:e>
            <m:sup>
              <m:r>
                <w:rPr>
                  <w:rFonts w:ascii="Cambria Math" w:hAnsi="Cambria Math" w:cs="Times New Roman"/>
                  <w:sz w:val="24"/>
                  <w:szCs w:val="24"/>
                </w:rPr>
                <m:t>-</m:t>
              </m:r>
            </m:sup>
          </m:sSup>
          <m:r>
            <w:rPr>
              <w:rFonts w:ascii="Cambria Math" w:hAnsi="Cambria Math" w:cs="Times New Roman"/>
              <w:sz w:val="24"/>
              <w:szCs w:val="24"/>
            </w:rPr>
            <m:t>→AgSCN (s)</m:t>
          </m:r>
        </m:oMath>
      </m:oMathPara>
    </w:p>
    <w:p w:rsidR="00BA06A7" w:rsidRDefault="00BA06A7" w:rsidP="00BA06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Eftersom mängden tiocyanatjoner minskar kommer reaktionen att skjutas åt reaktanterna, alltså kommer mängden järn(III)tiocyanat minska och lösningen förlorar lite av sin röda färg. </w:t>
      </w:r>
    </w:p>
    <w:p w:rsidR="00246138" w:rsidRDefault="00246138" w:rsidP="00BA06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Därefter tillsattes natriumklorid och reagerar med silverjonerna och bildar det svårlösliga saltet AgCl, en vit fällning.</w:t>
      </w:r>
    </w:p>
    <w:p w:rsidR="00246138" w:rsidRDefault="00246138" w:rsidP="00BA06A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Ag</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Cl</m:t>
              </m:r>
            </m:e>
            <m:sup>
              <m:r>
                <w:rPr>
                  <w:rFonts w:ascii="Cambria Math" w:hAnsi="Cambria Math" w:cs="Times New Roman"/>
                  <w:sz w:val="24"/>
                  <w:szCs w:val="24"/>
                </w:rPr>
                <m:t>-</m:t>
              </m:r>
            </m:sup>
          </m:sSup>
          <m:r>
            <w:rPr>
              <w:rFonts w:ascii="Cambria Math" w:hAnsi="Cambria Math" w:cs="Times New Roman"/>
              <w:sz w:val="24"/>
              <w:szCs w:val="24"/>
            </w:rPr>
            <m:t>→AgCl (s)</m:t>
          </m:r>
        </m:oMath>
      </m:oMathPara>
    </w:p>
    <w:p w:rsidR="00246138" w:rsidRDefault="00246138" w:rsidP="00246138">
      <w:pPr>
        <w:rPr>
          <w:rFonts w:ascii="Times New Roman" w:hAnsi="Times New Roman" w:cs="Times New Roman"/>
          <w:sz w:val="24"/>
          <w:szCs w:val="24"/>
        </w:rPr>
      </w:pPr>
      <w:r>
        <w:rPr>
          <w:rFonts w:ascii="Times New Roman" w:eastAsiaTheme="minorEastAsia" w:hAnsi="Times New Roman" w:cs="Times New Roman"/>
          <w:sz w:val="24"/>
          <w:szCs w:val="24"/>
        </w:rPr>
        <w:t>I rör 5</w:t>
      </w:r>
      <w:r w:rsidR="00BA06A7">
        <w:rPr>
          <w:rFonts w:ascii="Times New Roman" w:eastAsiaTheme="minorEastAsia" w:hAnsi="Times New Roman" w:cs="Times New Roman"/>
          <w:sz w:val="24"/>
          <w:szCs w:val="24"/>
        </w:rPr>
        <w:t xml:space="preserve"> tillsattes </w:t>
      </w:r>
      <w:r>
        <w:rPr>
          <w:rFonts w:ascii="Times New Roman" w:eastAsiaTheme="minorEastAsia" w:hAnsi="Times New Roman" w:cs="Times New Roman"/>
          <w:sz w:val="24"/>
          <w:szCs w:val="24"/>
        </w:rPr>
        <w:t xml:space="preserve">Natriumfluorid. </w:t>
      </w:r>
      <w:r>
        <w:rPr>
          <w:rFonts w:ascii="Times New Roman" w:hAnsi="Times New Roman" w:cs="Times New Roman"/>
          <w:sz w:val="24"/>
          <w:szCs w:val="24"/>
        </w:rPr>
        <w:t>Fluoridjonerna bildar då ett ofärgat komplex med med järn(III)jonerna.</w:t>
      </w:r>
    </w:p>
    <w:p w:rsidR="00246138" w:rsidRDefault="00246138" w:rsidP="00246138">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3+</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FeF</m:t>
              </m:r>
            </m:e>
            <m:sub>
              <m:r>
                <w:rPr>
                  <w:rFonts w:ascii="Cambria Math" w:hAnsi="Cambria Math" w:cs="Times New Roman"/>
                  <w:sz w:val="24"/>
                  <w:szCs w:val="24"/>
                </w:rPr>
                <m:t>6</m:t>
              </m:r>
            </m:sub>
            <m:sup>
              <m:r>
                <w:rPr>
                  <w:rFonts w:ascii="Cambria Math" w:hAnsi="Cambria Math" w:cs="Times New Roman"/>
                  <w:sz w:val="24"/>
                  <w:szCs w:val="24"/>
                </w:rPr>
                <m:t>3-</m:t>
              </m:r>
            </m:sup>
          </m:sSubSup>
        </m:oMath>
      </m:oMathPara>
    </w:p>
    <w:p w:rsidR="00246138" w:rsidRDefault="00246138" w:rsidP="00246138">
      <w:pPr>
        <w:rPr>
          <w:rFonts w:ascii="Times New Roman" w:hAnsi="Times New Roman" w:cs="Times New Roman"/>
          <w:sz w:val="24"/>
          <w:szCs w:val="24"/>
        </w:rPr>
      </w:pPr>
      <w:r>
        <w:rPr>
          <w:rFonts w:ascii="Times New Roman" w:eastAsiaTheme="minorEastAsia" w:hAnsi="Times New Roman" w:cs="Times New Roman"/>
          <w:sz w:val="24"/>
          <w:szCs w:val="24"/>
        </w:rPr>
        <w:t xml:space="preserve">Här minskar mängden järn(III)joner, alltså en av reaktanterna minskar. Jämviktsläget skjuts då mot reaktanterna och mängden järn(III)tiocyanatjoner minskar också, lösningen blir då ljusare. </w:t>
      </w:r>
    </w:p>
    <w:p w:rsidR="00BA06A7" w:rsidRDefault="00BA06A7" w:rsidP="00BA06A7">
      <w:pPr>
        <w:rPr>
          <w:rFonts w:ascii="Times New Roman" w:eastAsiaTheme="minorEastAsia" w:hAnsi="Times New Roman" w:cs="Times New Roman"/>
          <w:sz w:val="24"/>
          <w:szCs w:val="24"/>
        </w:rPr>
      </w:pPr>
    </w:p>
    <w:p w:rsidR="00BA06A7" w:rsidRPr="00B607FE" w:rsidRDefault="00BA06A7" w:rsidP="000C325A">
      <w:pPr>
        <w:rPr>
          <w:rFonts w:ascii="Times New Roman" w:hAnsi="Times New Roman" w:cs="Times New Roman"/>
          <w:sz w:val="24"/>
          <w:szCs w:val="24"/>
        </w:rPr>
      </w:pPr>
    </w:p>
    <w:p w:rsidR="0011755C" w:rsidRPr="00B607FE" w:rsidRDefault="0011755C" w:rsidP="0011755C">
      <w:pPr>
        <w:pStyle w:val="Rubrik1"/>
        <w:rPr>
          <w:rFonts w:ascii="Times New Roman" w:hAnsi="Times New Roman" w:cs="Times New Roman"/>
        </w:rPr>
      </w:pPr>
      <w:r w:rsidRPr="00B607FE">
        <w:rPr>
          <w:rFonts w:ascii="Times New Roman" w:hAnsi="Times New Roman" w:cs="Times New Roman"/>
        </w:rPr>
        <w:t>Referenser:</w:t>
      </w:r>
    </w:p>
    <w:p w:rsidR="00FA185A" w:rsidRPr="00B607FE" w:rsidRDefault="00D45B08" w:rsidP="00FA185A">
      <w:pPr>
        <w:rPr>
          <w:rFonts w:ascii="Times New Roman" w:hAnsi="Times New Roman" w:cs="Times New Roman"/>
        </w:rPr>
      </w:pPr>
      <w:r>
        <w:rPr>
          <w:rFonts w:ascii="Times New Roman" w:hAnsi="Times New Roman" w:cs="Times New Roman"/>
        </w:rPr>
        <w:t>Gymnasie Kemi 2</w:t>
      </w:r>
      <w:r w:rsidR="005910A2" w:rsidRPr="00B607FE">
        <w:rPr>
          <w:rFonts w:ascii="Times New Roman" w:hAnsi="Times New Roman" w:cs="Times New Roman"/>
        </w:rPr>
        <w:t xml:space="preserve"> Andersson Sonesson Svahn Tullberg</w:t>
      </w:r>
    </w:p>
    <w:p w:rsidR="00E040AF" w:rsidRDefault="00D45B08" w:rsidP="00FA185A">
      <w:hyperlink r:id="rId14" w:history="1">
        <w:r w:rsidRPr="007D7130">
          <w:rPr>
            <w:rStyle w:val="Hyperlnk"/>
          </w:rPr>
          <w:t>http://sv.wikipedia.org/wiki/Le_Chateliers_princip</w:t>
        </w:r>
      </w:hyperlink>
    </w:p>
    <w:p w:rsidR="00D45B08" w:rsidRDefault="00D45B08" w:rsidP="00FA185A">
      <w:hyperlink r:id="rId15" w:history="1">
        <w:r w:rsidRPr="007D7130">
          <w:rPr>
            <w:rStyle w:val="Hyperlnk"/>
          </w:rPr>
          <w:t>http://ehinger.nu/undervisning/index.php/kurser/kemi-2/lektioner/kemisk-jaemvikt/698-nar-koncentrationen-andras-i-ett-jamviktssystem.html</w:t>
        </w:r>
      </w:hyperlink>
    </w:p>
    <w:p w:rsidR="00D45B08" w:rsidRDefault="00D45B08" w:rsidP="00FA185A"/>
    <w:p w:rsidR="005910A2" w:rsidRDefault="005910A2" w:rsidP="00FA185A">
      <w:pPr>
        <w:rPr>
          <w:rFonts w:ascii="Times New Roman" w:hAnsi="Times New Roman" w:cs="Times New Roman"/>
          <w:sz w:val="24"/>
          <w:szCs w:val="24"/>
        </w:rPr>
      </w:pPr>
    </w:p>
    <w:p w:rsidR="00FA185A" w:rsidRPr="00DE4CAB" w:rsidRDefault="00FA185A" w:rsidP="00B514BF">
      <w:pPr>
        <w:rPr>
          <w:rFonts w:ascii="Times New Roman" w:hAnsi="Times New Roman" w:cs="Times New Roman"/>
          <w:sz w:val="24"/>
          <w:szCs w:val="24"/>
        </w:rPr>
      </w:pPr>
    </w:p>
    <w:sectPr w:rsidR="00FA185A" w:rsidRPr="00DE4CAB" w:rsidSect="00D8579C">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C83" w:rsidRDefault="00CE6C83" w:rsidP="00101726">
      <w:pPr>
        <w:spacing w:after="0" w:line="240" w:lineRule="auto"/>
      </w:pPr>
      <w:r>
        <w:separator/>
      </w:r>
    </w:p>
  </w:endnote>
  <w:endnote w:type="continuationSeparator" w:id="0">
    <w:p w:rsidR="00CE6C83" w:rsidRDefault="00CE6C83"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C83" w:rsidRDefault="00CE6C83" w:rsidP="00101726">
      <w:pPr>
        <w:spacing w:after="0" w:line="240" w:lineRule="auto"/>
      </w:pPr>
      <w:r>
        <w:separator/>
      </w:r>
    </w:p>
  </w:footnote>
  <w:footnote w:type="continuationSeparator" w:id="0">
    <w:p w:rsidR="00CE6C83" w:rsidRDefault="00CE6C83"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280" w:rsidRDefault="005B1280">
    <w:pPr>
      <w:pStyle w:val="Sidhuvud"/>
    </w:pPr>
    <w:r>
      <w:t xml:space="preserve">Av: Emil Nygren </w:t>
    </w:r>
  </w:p>
  <w:p w:rsidR="005B1280" w:rsidRDefault="008F6FC4">
    <w:pPr>
      <w:pStyle w:val="Sidhuvud"/>
    </w:pPr>
    <w:r>
      <w:t>NN3</w:t>
    </w:r>
    <w:r w:rsidR="005B1280">
      <w:t>a</w:t>
    </w:r>
  </w:p>
  <w:p w:rsidR="005B1280" w:rsidRDefault="007527F0">
    <w:pPr>
      <w:pStyle w:val="Sidhuvud"/>
    </w:pPr>
    <w:r>
      <w:t>Labbkamrat: Sebastian Ghomri</w:t>
    </w:r>
    <w:r w:rsidR="005B1280">
      <w:t xml:space="preserve">                                    </w:t>
    </w:r>
    <w:r>
      <w:t xml:space="preserve">                              </w:t>
    </w:r>
    <w:r w:rsidR="008F6FC4">
      <w:t xml:space="preserve">                       Datum: 28/3 2014</w:t>
    </w:r>
  </w:p>
  <w:p w:rsidR="005B1280" w:rsidRDefault="005B1280">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711E3"/>
    <w:multiLevelType w:val="hybridMultilevel"/>
    <w:tmpl w:val="B28672C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2347728"/>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40485"/>
    <w:multiLevelType w:val="hybridMultilevel"/>
    <w:tmpl w:val="1CA2EB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9BF5FD8"/>
    <w:multiLevelType w:val="hybridMultilevel"/>
    <w:tmpl w:val="6B1EDC1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E8A1794"/>
    <w:multiLevelType w:val="hybridMultilevel"/>
    <w:tmpl w:val="6E9A6D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0333643"/>
    <w:multiLevelType w:val="hybridMultilevel"/>
    <w:tmpl w:val="C2C82F3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782E3EA9"/>
    <w:multiLevelType w:val="hybridMultilevel"/>
    <w:tmpl w:val="D7CE9C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1"/>
  </w:num>
  <w:num w:numId="6">
    <w:abstractNumId w:val="3"/>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54274">
      <o:colormru v:ext="edit" colors="#b5b4b1"/>
      <o:colormenu v:ext="edit" fillcolor="none" strokecolor="none"/>
    </o:shapedefaults>
  </w:hdrShapeDefaults>
  <w:footnotePr>
    <w:footnote w:id="-1"/>
    <w:footnote w:id="0"/>
  </w:footnotePr>
  <w:endnotePr>
    <w:endnote w:id="-1"/>
    <w:endnote w:id="0"/>
  </w:endnotePr>
  <w:compat/>
  <w:rsids>
    <w:rsidRoot w:val="00101726"/>
    <w:rsid w:val="00066DC1"/>
    <w:rsid w:val="00070316"/>
    <w:rsid w:val="00096239"/>
    <w:rsid w:val="000A16EB"/>
    <w:rsid w:val="000B47EC"/>
    <w:rsid w:val="000C325A"/>
    <w:rsid w:val="00101726"/>
    <w:rsid w:val="00105C84"/>
    <w:rsid w:val="00111F9A"/>
    <w:rsid w:val="0011755C"/>
    <w:rsid w:val="001559B9"/>
    <w:rsid w:val="00170669"/>
    <w:rsid w:val="00185092"/>
    <w:rsid w:val="00187319"/>
    <w:rsid w:val="001A4251"/>
    <w:rsid w:val="001D51ED"/>
    <w:rsid w:val="001F66DF"/>
    <w:rsid w:val="0020733C"/>
    <w:rsid w:val="0022096C"/>
    <w:rsid w:val="00246138"/>
    <w:rsid w:val="0024670E"/>
    <w:rsid w:val="00250894"/>
    <w:rsid w:val="00263E63"/>
    <w:rsid w:val="002C265C"/>
    <w:rsid w:val="002D50A1"/>
    <w:rsid w:val="002D56F7"/>
    <w:rsid w:val="002E6AA7"/>
    <w:rsid w:val="002F7C80"/>
    <w:rsid w:val="00302FAD"/>
    <w:rsid w:val="003149CD"/>
    <w:rsid w:val="0032252D"/>
    <w:rsid w:val="00324042"/>
    <w:rsid w:val="0033659A"/>
    <w:rsid w:val="003406CA"/>
    <w:rsid w:val="0034461C"/>
    <w:rsid w:val="003548FE"/>
    <w:rsid w:val="00376EFB"/>
    <w:rsid w:val="00382B23"/>
    <w:rsid w:val="00383FDE"/>
    <w:rsid w:val="003A7D9B"/>
    <w:rsid w:val="003B093C"/>
    <w:rsid w:val="003F13C7"/>
    <w:rsid w:val="00402F5C"/>
    <w:rsid w:val="00411DF1"/>
    <w:rsid w:val="00413C23"/>
    <w:rsid w:val="004449F3"/>
    <w:rsid w:val="0045413F"/>
    <w:rsid w:val="00484774"/>
    <w:rsid w:val="004911F1"/>
    <w:rsid w:val="004B1ED6"/>
    <w:rsid w:val="004C4118"/>
    <w:rsid w:val="005303C8"/>
    <w:rsid w:val="00555DD2"/>
    <w:rsid w:val="00565A42"/>
    <w:rsid w:val="00580FDF"/>
    <w:rsid w:val="005910A2"/>
    <w:rsid w:val="005B1280"/>
    <w:rsid w:val="005B4EFD"/>
    <w:rsid w:val="005F78C4"/>
    <w:rsid w:val="00612C5E"/>
    <w:rsid w:val="006163C1"/>
    <w:rsid w:val="00616EF5"/>
    <w:rsid w:val="00632133"/>
    <w:rsid w:val="0063484C"/>
    <w:rsid w:val="00636411"/>
    <w:rsid w:val="00640A91"/>
    <w:rsid w:val="00654483"/>
    <w:rsid w:val="0066259E"/>
    <w:rsid w:val="00690403"/>
    <w:rsid w:val="006C4917"/>
    <w:rsid w:val="006E420C"/>
    <w:rsid w:val="006E60E0"/>
    <w:rsid w:val="006E6870"/>
    <w:rsid w:val="006F35D2"/>
    <w:rsid w:val="006F653F"/>
    <w:rsid w:val="00702200"/>
    <w:rsid w:val="007118BB"/>
    <w:rsid w:val="00733253"/>
    <w:rsid w:val="007359E4"/>
    <w:rsid w:val="007527F0"/>
    <w:rsid w:val="007556DB"/>
    <w:rsid w:val="00763BDC"/>
    <w:rsid w:val="007805CA"/>
    <w:rsid w:val="0079402C"/>
    <w:rsid w:val="00794227"/>
    <w:rsid w:val="007A6A75"/>
    <w:rsid w:val="007B174D"/>
    <w:rsid w:val="007C72B9"/>
    <w:rsid w:val="007D4E6A"/>
    <w:rsid w:val="00803F02"/>
    <w:rsid w:val="00811E2D"/>
    <w:rsid w:val="008170CC"/>
    <w:rsid w:val="008251A0"/>
    <w:rsid w:val="0082636E"/>
    <w:rsid w:val="00842243"/>
    <w:rsid w:val="00847F9C"/>
    <w:rsid w:val="00853240"/>
    <w:rsid w:val="00885E0F"/>
    <w:rsid w:val="008B0E60"/>
    <w:rsid w:val="008C3DA1"/>
    <w:rsid w:val="008D0D11"/>
    <w:rsid w:val="008D5868"/>
    <w:rsid w:val="008F6FC4"/>
    <w:rsid w:val="00912CA6"/>
    <w:rsid w:val="00965E12"/>
    <w:rsid w:val="00980BA5"/>
    <w:rsid w:val="009A1144"/>
    <w:rsid w:val="00A1106A"/>
    <w:rsid w:val="00A13F6F"/>
    <w:rsid w:val="00A31F46"/>
    <w:rsid w:val="00A34D72"/>
    <w:rsid w:val="00A6344A"/>
    <w:rsid w:val="00A73439"/>
    <w:rsid w:val="00AA162C"/>
    <w:rsid w:val="00AB2C41"/>
    <w:rsid w:val="00AB5FC9"/>
    <w:rsid w:val="00AE299A"/>
    <w:rsid w:val="00AF46A8"/>
    <w:rsid w:val="00B03EC6"/>
    <w:rsid w:val="00B16636"/>
    <w:rsid w:val="00B277F6"/>
    <w:rsid w:val="00B30D06"/>
    <w:rsid w:val="00B514BF"/>
    <w:rsid w:val="00B52E49"/>
    <w:rsid w:val="00B607FE"/>
    <w:rsid w:val="00B71BAC"/>
    <w:rsid w:val="00B907BB"/>
    <w:rsid w:val="00BA06A7"/>
    <w:rsid w:val="00BC198D"/>
    <w:rsid w:val="00BD3055"/>
    <w:rsid w:val="00BE0570"/>
    <w:rsid w:val="00BE1725"/>
    <w:rsid w:val="00BE3444"/>
    <w:rsid w:val="00C015B4"/>
    <w:rsid w:val="00C07562"/>
    <w:rsid w:val="00C10F2A"/>
    <w:rsid w:val="00C16039"/>
    <w:rsid w:val="00C2396C"/>
    <w:rsid w:val="00C52282"/>
    <w:rsid w:val="00C61515"/>
    <w:rsid w:val="00C62BB8"/>
    <w:rsid w:val="00C6558E"/>
    <w:rsid w:val="00C67680"/>
    <w:rsid w:val="00C720A5"/>
    <w:rsid w:val="00C73036"/>
    <w:rsid w:val="00C93334"/>
    <w:rsid w:val="00CA3D5A"/>
    <w:rsid w:val="00CB36E7"/>
    <w:rsid w:val="00CB472B"/>
    <w:rsid w:val="00CE6C83"/>
    <w:rsid w:val="00D06515"/>
    <w:rsid w:val="00D1471D"/>
    <w:rsid w:val="00D17BE1"/>
    <w:rsid w:val="00D45B08"/>
    <w:rsid w:val="00D464CC"/>
    <w:rsid w:val="00D46FD0"/>
    <w:rsid w:val="00D557E1"/>
    <w:rsid w:val="00D64B25"/>
    <w:rsid w:val="00D64E04"/>
    <w:rsid w:val="00D80F57"/>
    <w:rsid w:val="00D82456"/>
    <w:rsid w:val="00D83A6A"/>
    <w:rsid w:val="00D8579C"/>
    <w:rsid w:val="00D97E9B"/>
    <w:rsid w:val="00DB778B"/>
    <w:rsid w:val="00DE4CAB"/>
    <w:rsid w:val="00E040AF"/>
    <w:rsid w:val="00E16B4D"/>
    <w:rsid w:val="00E21003"/>
    <w:rsid w:val="00E361D2"/>
    <w:rsid w:val="00E37467"/>
    <w:rsid w:val="00E51A59"/>
    <w:rsid w:val="00E56619"/>
    <w:rsid w:val="00E70895"/>
    <w:rsid w:val="00E72B76"/>
    <w:rsid w:val="00E84525"/>
    <w:rsid w:val="00EC2849"/>
    <w:rsid w:val="00ED73B6"/>
    <w:rsid w:val="00EF11A8"/>
    <w:rsid w:val="00EF28CB"/>
    <w:rsid w:val="00F00DCA"/>
    <w:rsid w:val="00F176F9"/>
    <w:rsid w:val="00F2295B"/>
    <w:rsid w:val="00F274C2"/>
    <w:rsid w:val="00F5702B"/>
    <w:rsid w:val="00F626C3"/>
    <w:rsid w:val="00F8226F"/>
    <w:rsid w:val="00F86B34"/>
    <w:rsid w:val="00FA185A"/>
    <w:rsid w:val="00FA2AD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4274">
      <o:colormru v:ext="edit" colors="#b5b4b1"/>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02FAD"/>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302F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D5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Underrubrik">
    <w:name w:val="Subtitle"/>
    <w:basedOn w:val="Normal"/>
    <w:next w:val="Normal"/>
    <w:link w:val="UnderrubrikChar"/>
    <w:uiPriority w:val="11"/>
    <w:qFormat/>
    <w:rsid w:val="00263E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263E63"/>
    <w:rPr>
      <w:rFonts w:asciiTheme="majorHAnsi" w:eastAsiaTheme="majorEastAsia" w:hAnsiTheme="majorHAnsi" w:cstheme="majorBidi"/>
      <w:i/>
      <w:iCs/>
      <w:color w:val="4F81BD" w:themeColor="accent1"/>
      <w:spacing w:val="15"/>
      <w:sz w:val="24"/>
      <w:szCs w:val="24"/>
    </w:rPr>
  </w:style>
  <w:style w:type="character" w:customStyle="1" w:styleId="Rubrik3Char">
    <w:name w:val="Rubrik 3 Char"/>
    <w:basedOn w:val="Standardstycketeckensnitt"/>
    <w:link w:val="Rubrik3"/>
    <w:uiPriority w:val="9"/>
    <w:rsid w:val="00302FAD"/>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302FA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hinger.nu/undervisning/index.php/kurser/kemi-2/lektioner/kemisk-jaemvikt/698-nar-koncentrationen-andras-i-ett-jamviktssystem.html"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wikipedia.org/wiki/Le_Chateliers_princi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432F3"/>
    <w:rsid w:val="001F2D89"/>
    <w:rsid w:val="002675EE"/>
    <w:rsid w:val="00E432F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5E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2675EE"/>
    <w:rPr>
      <w:color w:val="808080"/>
    </w:rPr>
  </w:style>
  <w:style w:type="paragraph" w:customStyle="1" w:styleId="8AFE9F34A298420DAF6B2D5A176A7B0F">
    <w:name w:val="8AFE9F34A298420DAF6B2D5A176A7B0F"/>
    <w:rsid w:val="002675EE"/>
  </w:style>
  <w:style w:type="paragraph" w:customStyle="1" w:styleId="4A91794DA28A4B0992E87B3E4AE6398E">
    <w:name w:val="4A91794DA28A4B0992E87B3E4AE6398E"/>
    <w:rsid w:val="002675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NN3a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5.xml><?xml version="1.0" encoding="utf-8"?>
<ds:datastoreItem xmlns:ds="http://schemas.openxmlformats.org/officeDocument/2006/customXml" ds:itemID="{26E95B0B-B069-43DB-8694-B8D2C0B6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628</Words>
  <Characters>3329</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Labbrapport-          Jämviktsexperiment</vt:lpstr>
    </vt:vector>
  </TitlesOfParts>
  <Company>Nacka Gymnasium</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Jämviktsexperiment</dc:title>
  <dc:subject>Nacka Gymnasium</dc:subject>
  <dc:creator>Emil Nygren</dc:creator>
  <cp:lastModifiedBy>emil.r.nygren</cp:lastModifiedBy>
  <cp:revision>11</cp:revision>
  <cp:lastPrinted>2012-02-16T11:04:00Z</cp:lastPrinted>
  <dcterms:created xsi:type="dcterms:W3CDTF">2014-04-14T12:17:00Z</dcterms:created>
  <dcterms:modified xsi:type="dcterms:W3CDTF">2014-04-24T12:30:00Z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y fmtid="{D5CDD505-2E9C-101B-9397-08002B2CF9AE}" pid="4" name="Arbetsområde">
    <vt:lpwstr/>
  </property>
  <property fmtid="{D5CDD505-2E9C-101B-9397-08002B2CF9AE}" pid="5" name="UrkundResult">
    <vt:lpwstr/>
  </property>
  <property fmtid="{D5CDD505-2E9C-101B-9397-08002B2CF9AE}" pid="6" name="Utökad beskrivning">
    <vt:lpwstr/>
  </property>
  <property fmtid="{D5CDD505-2E9C-101B-9397-08002B2CF9AE}" pid="7" name="Elevkommentar">
    <vt:lpwstr/>
  </property>
  <property fmtid="{D5CDD505-2E9C-101B-9397-08002B2CF9AE}" pid="8" name="Lärarkommentar">
    <vt:lpwstr>Metoddelen saknar beskrivning. Hur gick utvärderingen av mätresultaten till? För mer information, se kommentarerna i texten.</vt:lpwstr>
  </property>
  <property fmtid="{D5CDD505-2E9C-101B-9397-08002B2CF9AE}" pid="9" name="Lärarstatus">
    <vt:lpwstr>Klar</vt:lpwstr>
  </property>
</Properties>
</file>