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580360">
          <w:r>
            <w:rPr>
              <w:noProof/>
              <w:lang w:eastAsia="sv-SE"/>
            </w:rPr>
            <w:pict>
              <v:rect id="_x0000_s1086" style="position:absolute;margin-left:39pt;margin-top:-172.85pt;width:453.55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29359063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B1280" w:rsidRPr="00DE4CAB" w:rsidRDefault="00F8226F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Labbrapport-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   </w:t>
                          </w:r>
                          <w:r w:rsidR="00A351C0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     Syra-bas titrering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5B1280" w:rsidRDefault="005B1280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5B1280" w:rsidRDefault="005B1280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580360">
          <w:pPr>
            <w:rPr>
              <w:rFonts w:asciiTheme="majorHAnsi" w:eastAsiaTheme="majorEastAsia" w:hAnsiTheme="majorHAnsi" w:cstheme="majorBidi"/>
              <w:caps/>
            </w:rPr>
          </w:pPr>
          <w:r w:rsidRPr="00580360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0.65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293590638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5B1280" w:rsidRDefault="008F6FC4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NN3</w:t>
                          </w:r>
                          <w:r w:rsidR="005B1280"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580360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5pt;height:252.2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A351C0">
        <w:rPr>
          <w:rFonts w:ascii="Times New Roman" w:hAnsi="Times New Roman" w:cs="Times New Roman"/>
          <w:sz w:val="44"/>
          <w:szCs w:val="44"/>
        </w:rPr>
        <w:t>Syra-Bas titrering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7A6A75" w:rsidRPr="00A351C0" w:rsidRDefault="00E84525" w:rsidP="004C4118">
      <w:pPr>
        <w:rPr>
          <w:rFonts w:ascii="Times New Roman" w:hAnsi="Times New Roman" w:cs="Times New Roman"/>
          <w:sz w:val="24"/>
          <w:szCs w:val="24"/>
        </w:rPr>
      </w:pPr>
      <w:r w:rsidRPr="00A351C0">
        <w:rPr>
          <w:rFonts w:ascii="Times New Roman" w:hAnsi="Times New Roman" w:cs="Times New Roman"/>
          <w:sz w:val="24"/>
          <w:szCs w:val="24"/>
        </w:rPr>
        <w:t>I denna</w:t>
      </w:r>
      <w:r w:rsidR="00A351C0" w:rsidRPr="00A351C0">
        <w:rPr>
          <w:rFonts w:ascii="Times New Roman" w:hAnsi="Times New Roman" w:cs="Times New Roman"/>
          <w:sz w:val="24"/>
          <w:szCs w:val="24"/>
        </w:rPr>
        <w:t xml:space="preserve"> laboration titrerade vi två olika syror för att bestämma deras pK</w:t>
      </w:r>
      <w:r w:rsidR="00A351C0" w:rsidRPr="00A351C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A351C0" w:rsidRPr="00A351C0">
        <w:rPr>
          <w:rFonts w:ascii="Times New Roman" w:hAnsi="Times New Roman" w:cs="Times New Roman"/>
          <w:sz w:val="24"/>
          <w:szCs w:val="24"/>
        </w:rPr>
        <w:t>-värden, ekvivalenspunkterna samt koncentrationerna av dessa.</w:t>
      </w:r>
    </w:p>
    <w:p w:rsidR="00853240" w:rsidRDefault="00DE4CAB" w:rsidP="00DE4CAB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Introduktion</w:t>
      </w:r>
    </w:p>
    <w:p w:rsidR="005E06B9" w:rsidRPr="00C91290" w:rsidRDefault="005E06B9" w:rsidP="005E06B9">
      <w:pPr>
        <w:rPr>
          <w:rFonts w:ascii="Times New Roman" w:hAnsi="Times New Roman" w:cs="Times New Roman"/>
          <w:sz w:val="24"/>
          <w:szCs w:val="24"/>
        </w:rPr>
      </w:pPr>
      <w:r w:rsidRPr="00C91290">
        <w:rPr>
          <w:rFonts w:ascii="Times New Roman" w:hAnsi="Times New Roman" w:cs="Times New Roman"/>
          <w:sz w:val="24"/>
          <w:szCs w:val="24"/>
        </w:rPr>
        <w:t xml:space="preserve">Titering är en analysmetod </w:t>
      </w:r>
      <w:r w:rsidR="00C91290" w:rsidRPr="00C91290">
        <w:rPr>
          <w:rFonts w:ascii="Times New Roman" w:hAnsi="Times New Roman" w:cs="Times New Roman"/>
          <w:sz w:val="24"/>
          <w:szCs w:val="24"/>
        </w:rPr>
        <w:t>där man tar</w:t>
      </w:r>
      <w:r w:rsidRPr="00C91290">
        <w:rPr>
          <w:rFonts w:ascii="Times New Roman" w:hAnsi="Times New Roman" w:cs="Times New Roman"/>
          <w:sz w:val="24"/>
          <w:szCs w:val="24"/>
        </w:rPr>
        <w:t xml:space="preserve"> reda på koncentrationen av en okänd lösning. Detta görs genom att man låter en lösning med känd koncentration reagera med lösningen med den okända koncentrationen. </w:t>
      </w:r>
    </w:p>
    <w:p w:rsidR="005E06B9" w:rsidRDefault="00C91290" w:rsidP="005E06B9">
      <w:pPr>
        <w:rPr>
          <w:rFonts w:ascii="Times New Roman" w:hAnsi="Times New Roman" w:cs="Times New Roman"/>
          <w:sz w:val="24"/>
          <w:szCs w:val="24"/>
        </w:rPr>
      </w:pPr>
      <w:r w:rsidRPr="00C91290">
        <w:rPr>
          <w:rFonts w:ascii="Times New Roman" w:hAnsi="Times New Roman" w:cs="Times New Roman"/>
          <w:sz w:val="24"/>
          <w:szCs w:val="24"/>
        </w:rPr>
        <w:t xml:space="preserve">I den här laborationen genomfördes syra-bas titrering. Här </w:t>
      </w:r>
      <w:r w:rsidR="005E06B9" w:rsidRPr="00C91290">
        <w:rPr>
          <w:rFonts w:ascii="Times New Roman" w:hAnsi="Times New Roman" w:cs="Times New Roman"/>
          <w:sz w:val="24"/>
          <w:szCs w:val="24"/>
        </w:rPr>
        <w:t>bestäms syrans eller basens koncentration genom att</w:t>
      </w:r>
      <w:r w:rsidRPr="00C91290">
        <w:rPr>
          <w:rFonts w:ascii="Times New Roman" w:hAnsi="Times New Roman" w:cs="Times New Roman"/>
          <w:sz w:val="24"/>
          <w:szCs w:val="24"/>
        </w:rPr>
        <w:t xml:space="preserve"> man</w:t>
      </w:r>
      <w:r w:rsidR="005E06B9" w:rsidRPr="00C91290">
        <w:rPr>
          <w:rFonts w:ascii="Times New Roman" w:hAnsi="Times New Roman" w:cs="Times New Roman"/>
          <w:sz w:val="24"/>
          <w:szCs w:val="24"/>
        </w:rPr>
        <w:t xml:space="preserve"> titrera</w:t>
      </w:r>
      <w:r w:rsidRPr="00C91290">
        <w:rPr>
          <w:rFonts w:ascii="Times New Roman" w:hAnsi="Times New Roman" w:cs="Times New Roman"/>
          <w:sz w:val="24"/>
          <w:szCs w:val="24"/>
        </w:rPr>
        <w:t>r</w:t>
      </w:r>
      <w:r w:rsidR="005E06B9" w:rsidRPr="00C91290">
        <w:rPr>
          <w:rFonts w:ascii="Times New Roman" w:hAnsi="Times New Roman" w:cs="Times New Roman"/>
          <w:sz w:val="24"/>
          <w:szCs w:val="24"/>
        </w:rPr>
        <w:t xml:space="preserve"> med en stark syra eller bas</w:t>
      </w:r>
      <w:r w:rsidRPr="00C91290">
        <w:rPr>
          <w:rFonts w:ascii="Times New Roman" w:hAnsi="Times New Roman" w:cs="Times New Roman"/>
          <w:sz w:val="24"/>
          <w:szCs w:val="24"/>
        </w:rPr>
        <w:t>. Som pH-indikator</w:t>
      </w:r>
      <w:r w:rsidR="005E06B9" w:rsidRPr="00C91290">
        <w:rPr>
          <w:rFonts w:ascii="Times New Roman" w:hAnsi="Times New Roman" w:cs="Times New Roman"/>
          <w:sz w:val="24"/>
          <w:szCs w:val="24"/>
        </w:rPr>
        <w:t xml:space="preserve"> under experimentet användes en pH-mätare</w:t>
      </w:r>
      <w:r w:rsidRPr="00C91290">
        <w:rPr>
          <w:rFonts w:ascii="Times New Roman" w:hAnsi="Times New Roman" w:cs="Times New Roman"/>
          <w:sz w:val="24"/>
          <w:szCs w:val="24"/>
        </w:rPr>
        <w:t xml:space="preserve">. </w:t>
      </w:r>
      <w:r w:rsidR="005E06B9" w:rsidRPr="00C91290">
        <w:rPr>
          <w:rFonts w:ascii="Times New Roman" w:hAnsi="Times New Roman" w:cs="Times New Roman"/>
          <w:sz w:val="24"/>
          <w:szCs w:val="24"/>
        </w:rPr>
        <w:t xml:space="preserve">Beroende på </w:t>
      </w:r>
      <w:r w:rsidRPr="00C91290">
        <w:rPr>
          <w:rFonts w:ascii="Times New Roman" w:hAnsi="Times New Roman" w:cs="Times New Roman"/>
          <w:sz w:val="24"/>
          <w:szCs w:val="24"/>
        </w:rPr>
        <w:t>hur stark syran eller basen är</w:t>
      </w:r>
      <w:r w:rsidR="005E06B9" w:rsidRPr="00C91290">
        <w:rPr>
          <w:rFonts w:ascii="Times New Roman" w:hAnsi="Times New Roman" w:cs="Times New Roman"/>
          <w:sz w:val="24"/>
          <w:szCs w:val="24"/>
        </w:rPr>
        <w:t xml:space="preserve"> kommer ekvivalenspunkten skilja sig. </w:t>
      </w:r>
      <w:r w:rsidRPr="00C91290">
        <w:rPr>
          <w:rFonts w:ascii="Times New Roman" w:hAnsi="Times New Roman" w:cs="Times New Roman"/>
          <w:sz w:val="24"/>
          <w:szCs w:val="24"/>
        </w:rPr>
        <w:t>Vid</w:t>
      </w:r>
      <w:r w:rsidR="005E06B9" w:rsidRPr="00C91290">
        <w:rPr>
          <w:rFonts w:ascii="Times New Roman" w:hAnsi="Times New Roman" w:cs="Times New Roman"/>
          <w:sz w:val="24"/>
          <w:szCs w:val="24"/>
        </w:rPr>
        <w:t xml:space="preserve"> titrering av en stark syra(eller bas)</w:t>
      </w:r>
      <w:r w:rsidRPr="00C91290">
        <w:rPr>
          <w:rFonts w:ascii="Times New Roman" w:hAnsi="Times New Roman" w:cs="Times New Roman"/>
          <w:sz w:val="24"/>
          <w:szCs w:val="24"/>
        </w:rPr>
        <w:t xml:space="preserve"> ges en ekvi</w:t>
      </w:r>
      <w:r w:rsidR="005E06B9" w:rsidRPr="00C91290">
        <w:rPr>
          <w:rFonts w:ascii="Times New Roman" w:hAnsi="Times New Roman" w:cs="Times New Roman"/>
          <w:sz w:val="24"/>
          <w:szCs w:val="24"/>
        </w:rPr>
        <w:t>valenspunkt vid pH 7, titrering av en svag syra med en stark bas ger en ekvivalenspunkt</w:t>
      </w:r>
      <w:r w:rsidRPr="00C91290">
        <w:rPr>
          <w:rFonts w:ascii="Times New Roman" w:hAnsi="Times New Roman" w:cs="Times New Roman"/>
          <w:sz w:val="24"/>
          <w:szCs w:val="24"/>
        </w:rPr>
        <w:t xml:space="preserve"> pH</w:t>
      </w:r>
      <w:r w:rsidR="005E06B9" w:rsidRPr="00C91290">
        <w:rPr>
          <w:rFonts w:ascii="Times New Roman" w:hAnsi="Times New Roman" w:cs="Times New Roman"/>
          <w:sz w:val="24"/>
          <w:szCs w:val="24"/>
        </w:rPr>
        <w:t xml:space="preserve"> </w:t>
      </w:r>
      <w:r w:rsidRPr="00C91290">
        <w:rPr>
          <w:rFonts w:ascii="Times New Roman" w:hAnsi="Times New Roman" w:cs="Times New Roman"/>
          <w:sz w:val="24"/>
          <w:szCs w:val="24"/>
        </w:rPr>
        <w:t>över 7</w:t>
      </w:r>
      <w:r w:rsidR="005E06B9" w:rsidRPr="00C91290">
        <w:rPr>
          <w:rFonts w:ascii="Times New Roman" w:hAnsi="Times New Roman" w:cs="Times New Roman"/>
          <w:sz w:val="24"/>
          <w:szCs w:val="24"/>
        </w:rPr>
        <w:t xml:space="preserve">, samt titrering av en svag bas med en stark syra har sin ekvivivlanespunkt vid </w:t>
      </w:r>
      <w:r w:rsidRPr="00C91290">
        <w:rPr>
          <w:rFonts w:ascii="Times New Roman" w:hAnsi="Times New Roman" w:cs="Times New Roman"/>
          <w:sz w:val="24"/>
          <w:szCs w:val="24"/>
        </w:rPr>
        <w:t>pH under 7.</w:t>
      </w:r>
    </w:p>
    <w:p w:rsidR="001022D1" w:rsidRDefault="00B21958" w:rsidP="00B21958">
      <w:pPr>
        <w:rPr>
          <w:rFonts w:ascii="Times New Roman" w:hAnsi="Times New Roman" w:cs="Times New Roman"/>
          <w:sz w:val="24"/>
          <w:szCs w:val="24"/>
        </w:rPr>
      </w:pPr>
      <w:r w:rsidRPr="001022D1">
        <w:rPr>
          <w:rFonts w:ascii="Times New Roman" w:hAnsi="Times New Roman" w:cs="Times New Roman"/>
          <w:sz w:val="24"/>
          <w:szCs w:val="24"/>
        </w:rPr>
        <w:t>Vid ekvivalenspunkten gäller att</w:t>
      </w:r>
    </w:p>
    <w:p w:rsidR="001022D1" w:rsidRDefault="00B21958" w:rsidP="001022D1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syra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bas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1022D1" w:rsidRDefault="001022D1" w:rsidP="00B219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21958" w:rsidRPr="001022D1">
        <w:rPr>
          <w:rFonts w:ascii="Times New Roman" w:hAnsi="Times New Roman" w:cs="Times New Roman"/>
          <w:sz w:val="24"/>
          <w:szCs w:val="24"/>
        </w:rPr>
        <w:t xml:space="preserve">etta </w:t>
      </w:r>
      <w:r>
        <w:rPr>
          <w:rFonts w:ascii="Times New Roman" w:hAnsi="Times New Roman" w:cs="Times New Roman"/>
          <w:sz w:val="24"/>
          <w:szCs w:val="24"/>
        </w:rPr>
        <w:t>ger oss sambandet</w:t>
      </w:r>
      <w:r w:rsidR="00B21958" w:rsidRPr="001022D1">
        <w:rPr>
          <w:rFonts w:ascii="Times New Roman" w:hAnsi="Times New Roman" w:cs="Times New Roman"/>
          <w:sz w:val="24"/>
          <w:szCs w:val="24"/>
        </w:rPr>
        <w:t xml:space="preserve">. </w:t>
      </w:r>
      <m:r>
        <w:rPr>
          <w:rFonts w:ascii="Cambria Math" w:eastAsiaTheme="minorEastAsia" w:hAnsi="Cambria Math" w:cs="Times New Roman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NaOH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NaOH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Syra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Syra</m:t>
              </m:r>
            </m:sub>
          </m:sSub>
        </m:oMath>
      </m:oMathPara>
    </w:p>
    <w:p w:rsidR="00B83119" w:rsidRDefault="00B83119" w:rsidP="00B219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Vid titreringen är endast en av dessa okänd och vi kan då beräkna koncentrationen av syran.</w:t>
      </w:r>
    </w:p>
    <w:p w:rsidR="00B83119" w:rsidRDefault="00B83119" w:rsidP="00B219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Vid halvtitrerpunkten kan man bestämma syrans </w:t>
      </w:r>
      <w:r w:rsidRPr="00DE2CDD">
        <w:rPr>
          <w:rFonts w:ascii="Times New Roman" w:hAnsi="Times New Roman" w:cs="Times New Roman"/>
          <w:sz w:val="24"/>
          <w:szCs w:val="24"/>
        </w:rPr>
        <w:t>PK</w:t>
      </w:r>
      <w:r w:rsidRPr="00DE2CD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-värde, halvtitrerpunkten är då man har tillsatt halva volymen av NaOH, här har hälften av HA överförts till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. Då är [HA]=[A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]. Detta ger </w:t>
      </w:r>
      <m:r>
        <w:rPr>
          <w:rFonts w:ascii="Cambria Math" w:eastAsiaTheme="minorEastAsia" w:hAnsi="Cambria Math" w:cs="Times New Roman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[HA]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:rsidR="00B83119" w:rsidRDefault="00B83119" w:rsidP="00B219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Då </w:t>
      </w:r>
      <w:r>
        <w:rPr>
          <w:rFonts w:ascii="Times New Roman" w:hAnsi="Times New Roman" w:cs="Times New Roman"/>
          <w:sz w:val="24"/>
          <w:szCs w:val="24"/>
        </w:rPr>
        <w:t>[HA]=[A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] får vi att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[HA]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alltså är </w:t>
      </w:r>
      <m:r>
        <w:rPr>
          <w:rFonts w:ascii="Cambria Math" w:hAnsi="Cambria Math" w:cs="Times New Roman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:rsidR="00B83119" w:rsidRDefault="00B83119" w:rsidP="00B2195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=pH</m:t>
          </m:r>
        </m:oMath>
      </m:oMathPara>
    </w:p>
    <w:p w:rsidR="00C91290" w:rsidRPr="00C91290" w:rsidRDefault="00C91290" w:rsidP="005E06B9">
      <w:pPr>
        <w:rPr>
          <w:rFonts w:ascii="Times New Roman" w:hAnsi="Times New Roman" w:cs="Times New Roman"/>
          <w:sz w:val="24"/>
          <w:szCs w:val="24"/>
        </w:rPr>
      </w:pPr>
    </w:p>
    <w:p w:rsidR="0011755C" w:rsidRPr="00F626C3" w:rsidRDefault="0011755C" w:rsidP="0032252D">
      <w:pPr>
        <w:pStyle w:val="Rubrik2"/>
        <w:rPr>
          <w:rFonts w:ascii="Times New Roman" w:hAnsi="Times New Roman" w:cs="Times New Roman"/>
        </w:rPr>
      </w:pPr>
      <w:r w:rsidRPr="00F626C3">
        <w:rPr>
          <w:rFonts w:ascii="Times New Roman" w:hAnsi="Times New Roman" w:cs="Times New Roman"/>
        </w:rPr>
        <w:lastRenderedPageBreak/>
        <w:t>Metod:</w:t>
      </w:r>
    </w:p>
    <w:p w:rsidR="0011755C" w:rsidRPr="00F626C3" w:rsidRDefault="0011755C" w:rsidP="0011755C">
      <w:pPr>
        <w:pStyle w:val="Rubrik2"/>
        <w:rPr>
          <w:rFonts w:ascii="Times New Roman" w:hAnsi="Times New Roman" w:cs="Times New Roman"/>
        </w:rPr>
      </w:pPr>
      <w:r w:rsidRPr="00F626C3">
        <w:rPr>
          <w:rFonts w:ascii="Times New Roman" w:hAnsi="Times New Roman" w:cs="Times New Roman"/>
        </w:rPr>
        <w:t>Materiel</w:t>
      </w:r>
    </w:p>
    <w:p w:rsidR="00C91290" w:rsidRPr="00C91290" w:rsidRDefault="00C91290" w:rsidP="00C91290">
      <w:pPr>
        <w:pStyle w:val="Liststyck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1290">
        <w:rPr>
          <w:rFonts w:ascii="Times New Roman" w:hAnsi="Times New Roman" w:cs="Times New Roman"/>
          <w:sz w:val="24"/>
          <w:szCs w:val="24"/>
        </w:rPr>
        <w:t>Magnetisk omrörare</w:t>
      </w:r>
    </w:p>
    <w:p w:rsidR="00C91290" w:rsidRPr="00C91290" w:rsidRDefault="00B21958" w:rsidP="00C91290">
      <w:pPr>
        <w:pStyle w:val="Liststyck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</w:t>
      </w:r>
      <w:r w:rsidR="00C91290" w:rsidRPr="00C91290">
        <w:rPr>
          <w:rFonts w:ascii="Times New Roman" w:hAnsi="Times New Roman" w:cs="Times New Roman"/>
          <w:sz w:val="24"/>
          <w:szCs w:val="24"/>
        </w:rPr>
        <w:t>pH-mätare</w:t>
      </w:r>
    </w:p>
    <w:p w:rsidR="00C91290" w:rsidRPr="00C91290" w:rsidRDefault="00C91290" w:rsidP="00C91290">
      <w:pPr>
        <w:pStyle w:val="Liststyck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1290">
        <w:rPr>
          <w:rFonts w:ascii="Times New Roman" w:hAnsi="Times New Roman" w:cs="Times New Roman"/>
          <w:sz w:val="24"/>
          <w:szCs w:val="24"/>
        </w:rPr>
        <w:t>Bägare</w:t>
      </w:r>
    </w:p>
    <w:p w:rsidR="00C91290" w:rsidRPr="00C91290" w:rsidRDefault="00C91290" w:rsidP="00C91290">
      <w:pPr>
        <w:pStyle w:val="Liststyck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1290">
        <w:rPr>
          <w:rFonts w:ascii="Times New Roman" w:hAnsi="Times New Roman" w:cs="Times New Roman"/>
          <w:sz w:val="24"/>
          <w:szCs w:val="24"/>
        </w:rPr>
        <w:t>Byrett</w:t>
      </w:r>
    </w:p>
    <w:p w:rsidR="00C91290" w:rsidRPr="00C91290" w:rsidRDefault="00B21958" w:rsidP="00C91290">
      <w:pPr>
        <w:pStyle w:val="Liststyck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O</w:t>
      </w:r>
      <w:r w:rsidR="00C91290" w:rsidRPr="00C91290">
        <w:rPr>
          <w:rFonts w:ascii="Times New Roman" w:hAnsi="Times New Roman" w:cs="Times New Roman"/>
          <w:sz w:val="24"/>
          <w:szCs w:val="24"/>
        </w:rPr>
        <w:t>känd</w:t>
      </w:r>
      <w:r>
        <w:rPr>
          <w:rFonts w:ascii="Times New Roman" w:hAnsi="Times New Roman" w:cs="Times New Roman"/>
          <w:sz w:val="24"/>
          <w:szCs w:val="24"/>
        </w:rPr>
        <w:t>a syror</w:t>
      </w:r>
    </w:p>
    <w:p w:rsidR="00C91290" w:rsidRPr="00C91290" w:rsidRDefault="00C91290" w:rsidP="00C91290">
      <w:pPr>
        <w:pStyle w:val="Liststyck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1290">
        <w:rPr>
          <w:rFonts w:ascii="Times New Roman" w:hAnsi="Times New Roman" w:cs="Times New Roman"/>
          <w:sz w:val="24"/>
          <w:szCs w:val="24"/>
        </w:rPr>
        <w:t>Natriumhydroxid, 1 M (NaOH)</w:t>
      </w:r>
    </w:p>
    <w:p w:rsidR="00484774" w:rsidRPr="00F626C3" w:rsidRDefault="00484774" w:rsidP="0011755C">
      <w:pPr>
        <w:pStyle w:val="Rubrik2"/>
        <w:rPr>
          <w:rFonts w:ascii="Times New Roman" w:hAnsi="Times New Roman" w:cs="Times New Roman"/>
        </w:rPr>
      </w:pPr>
    </w:p>
    <w:p w:rsidR="007556DB" w:rsidRPr="00F626C3" w:rsidRDefault="0011755C" w:rsidP="00ED73B6">
      <w:pPr>
        <w:pStyle w:val="Rubrik2"/>
        <w:rPr>
          <w:rFonts w:ascii="Times New Roman" w:hAnsi="Times New Roman" w:cs="Times New Roman"/>
        </w:rPr>
      </w:pPr>
      <w:r w:rsidRPr="00F626C3">
        <w:rPr>
          <w:rFonts w:ascii="Times New Roman" w:hAnsi="Times New Roman" w:cs="Times New Roman"/>
        </w:rPr>
        <w:t>Utförande</w:t>
      </w:r>
    </w:p>
    <w:p w:rsidR="00B21958" w:rsidRPr="00B21958" w:rsidRDefault="00B21958" w:rsidP="00B21958">
      <w:pPr>
        <w:pStyle w:val="Liststyck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21958">
        <w:rPr>
          <w:rFonts w:ascii="Times New Roman" w:hAnsi="Times New Roman" w:cs="Times New Roman"/>
          <w:sz w:val="24"/>
          <w:szCs w:val="24"/>
        </w:rPr>
        <w:t>Bägaren fylldes med 25 cm</w:t>
      </w:r>
      <w:r w:rsidRPr="00B2195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21958">
        <w:rPr>
          <w:rFonts w:ascii="Times New Roman" w:hAnsi="Times New Roman" w:cs="Times New Roman"/>
          <w:sz w:val="24"/>
          <w:szCs w:val="24"/>
        </w:rPr>
        <w:t xml:space="preserve"> av en okänd syra och en magnetisk omrörare tillsattes till bägaren.</w:t>
      </w:r>
    </w:p>
    <w:p w:rsidR="00B21958" w:rsidRPr="00B21958" w:rsidRDefault="00B21958" w:rsidP="00B21958">
      <w:pPr>
        <w:pStyle w:val="Liststyck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21958">
        <w:rPr>
          <w:rFonts w:ascii="Times New Roman" w:hAnsi="Times New Roman" w:cs="Times New Roman"/>
          <w:sz w:val="24"/>
          <w:szCs w:val="24"/>
        </w:rPr>
        <w:t xml:space="preserve">1 M NaOH tillsattes till byretten. </w:t>
      </w:r>
    </w:p>
    <w:p w:rsidR="00B21958" w:rsidRPr="00B21958" w:rsidRDefault="00B21958" w:rsidP="00B21958">
      <w:pPr>
        <w:pStyle w:val="Liststyck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21958">
        <w:rPr>
          <w:rFonts w:ascii="Times New Roman" w:hAnsi="Times New Roman" w:cs="Times New Roman"/>
          <w:sz w:val="24"/>
          <w:szCs w:val="24"/>
        </w:rPr>
        <w:t>Syrans start pH mättes.</w:t>
      </w:r>
    </w:p>
    <w:p w:rsidR="00B21958" w:rsidRPr="00B21958" w:rsidRDefault="00B21958" w:rsidP="00B21958">
      <w:pPr>
        <w:pStyle w:val="Liststyck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21958">
        <w:rPr>
          <w:rFonts w:ascii="Times New Roman" w:hAnsi="Times New Roman" w:cs="Times New Roman"/>
          <w:sz w:val="24"/>
          <w:szCs w:val="24"/>
        </w:rPr>
        <w:t>Natriumhydroxid tillsattes försiktigt till syran i en jämn takt. För varje milliliter som tillsatts lästes bägarens pH av. Dessa värden antecknades och en graf ritades till värdena</w:t>
      </w:r>
    </w:p>
    <w:p w:rsidR="00B21958" w:rsidRPr="00B21958" w:rsidRDefault="00B21958" w:rsidP="00B21958">
      <w:pPr>
        <w:pStyle w:val="Liststyck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21958">
        <w:rPr>
          <w:rFonts w:ascii="Times New Roman" w:hAnsi="Times New Roman" w:cs="Times New Roman"/>
          <w:sz w:val="24"/>
          <w:szCs w:val="24"/>
        </w:rPr>
        <w:t>Med hjälp av resultatet och graferna bestämdes ekvivalenspunkten och halvtitrerpunkten. Genom dessa räknades syrans koncentration ut samt pK</w:t>
      </w:r>
      <w:r w:rsidRPr="00B2195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21958">
        <w:rPr>
          <w:rFonts w:ascii="Times New Roman" w:hAnsi="Times New Roman" w:cs="Times New Roman"/>
          <w:sz w:val="24"/>
          <w:szCs w:val="24"/>
        </w:rPr>
        <w:t>-värdet. Således identifierades syran.</w:t>
      </w:r>
    </w:p>
    <w:p w:rsidR="00B52E49" w:rsidRDefault="00B21958" w:rsidP="00B21958">
      <w:pPr>
        <w:pStyle w:val="Liststyck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21958">
        <w:rPr>
          <w:rFonts w:ascii="Times New Roman" w:hAnsi="Times New Roman" w:cs="Times New Roman"/>
          <w:sz w:val="24"/>
          <w:szCs w:val="24"/>
        </w:rPr>
        <w:t xml:space="preserve">Stegen upprepades en gång till för den andra okända syran. </w:t>
      </w:r>
    </w:p>
    <w:p w:rsidR="00B21958" w:rsidRDefault="00B21958" w:rsidP="00B21958">
      <w:pPr>
        <w:pStyle w:val="Liststycke"/>
        <w:ind w:left="1110"/>
        <w:rPr>
          <w:rFonts w:ascii="Times New Roman" w:hAnsi="Times New Roman" w:cs="Times New Roman"/>
          <w:sz w:val="24"/>
          <w:szCs w:val="24"/>
        </w:rPr>
      </w:pPr>
    </w:p>
    <w:p w:rsidR="00B21958" w:rsidRDefault="00B21958" w:rsidP="00B21958">
      <w:pPr>
        <w:pStyle w:val="Rubrik4"/>
      </w:pPr>
      <w:r>
        <w:t>Bild 1:</w:t>
      </w:r>
    </w:p>
    <w:p w:rsidR="00B21958" w:rsidRPr="0012281C" w:rsidRDefault="0012281C" w:rsidP="0012281C">
      <w:pPr>
        <w:ind w:left="11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left:0;text-align:left;margin-left:228.35pt;margin-top:104.05pt;width:180.6pt;height:73.05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12281C" w:rsidRDefault="0012281C" w:rsidP="0012281C">
                  <w:pPr>
                    <w:pStyle w:val="Rubrik4"/>
                  </w:pPr>
                  <w:r>
                    <w:t xml:space="preserve">Bilden visar uppställningen av experimentet. </w:t>
                  </w:r>
                </w:p>
                <w:p w:rsidR="0012281C" w:rsidRDefault="0012281C"/>
              </w:txbxContent>
            </v:textbox>
          </v:shape>
        </w:pict>
      </w:r>
      <w:r w:rsidR="00B21958">
        <w:rPr>
          <w:noProof/>
          <w:lang w:eastAsia="sv-SE"/>
        </w:rPr>
        <w:drawing>
          <wp:inline distT="0" distB="0" distL="0" distR="0">
            <wp:extent cx="1625444" cy="3181350"/>
            <wp:effectExtent l="19050" t="0" r="0" b="0"/>
            <wp:docPr id="5" name="Bild 1" descr="http://www.backlund.biz/wp-content/uploads/2010/10/titre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cklund.biz/wp-content/uploads/2010/10/titrering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444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958" w:rsidRPr="00B21958" w:rsidRDefault="00B21958" w:rsidP="00B21958"/>
    <w:p w:rsidR="0011755C" w:rsidRDefault="00105C84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</w:t>
      </w:r>
      <w:r w:rsidR="0011755C" w:rsidRPr="00DE4CAB">
        <w:rPr>
          <w:rFonts w:ascii="Times New Roman" w:hAnsi="Times New Roman" w:cs="Times New Roman"/>
        </w:rPr>
        <w:t>tat:</w:t>
      </w:r>
    </w:p>
    <w:p w:rsidR="005E06B9" w:rsidRDefault="005E06B9" w:rsidP="003406CA">
      <w:pPr>
        <w:rPr>
          <w:rFonts w:ascii="Times New Roman" w:hAnsi="Times New Roman" w:cs="Times New Roman"/>
        </w:rPr>
      </w:pPr>
      <w:r>
        <w:rPr>
          <w:noProof/>
          <w:lang w:eastAsia="sv-SE"/>
        </w:rPr>
        <w:drawing>
          <wp:inline distT="0" distB="0" distL="0" distR="0">
            <wp:extent cx="4564716" cy="2743200"/>
            <wp:effectExtent l="19050" t="0" r="26334" b="0"/>
            <wp:docPr id="3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406CA" w:rsidRDefault="005E06B9" w:rsidP="003406CA">
      <w:pPr>
        <w:rPr>
          <w:rFonts w:ascii="Times New Roman" w:hAnsi="Times New Roman" w:cs="Times New Roman"/>
        </w:rPr>
      </w:pPr>
      <w:r>
        <w:rPr>
          <w:noProof/>
          <w:lang w:eastAsia="sv-SE"/>
        </w:rPr>
        <w:drawing>
          <wp:inline distT="0" distB="0" distL="0" distR="0">
            <wp:extent cx="4574241" cy="2743200"/>
            <wp:effectExtent l="19050" t="0" r="16809" b="0"/>
            <wp:docPr id="4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21958" w:rsidRDefault="00604F7E" w:rsidP="003406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4F7E">
        <w:rPr>
          <w:rFonts w:ascii="Times New Roman" w:hAnsi="Times New Roman" w:cs="Times New Roman"/>
          <w:b/>
          <w:sz w:val="24"/>
          <w:szCs w:val="24"/>
          <w:u w:val="single"/>
        </w:rPr>
        <w:t>Syra 1:</w:t>
      </w:r>
    </w:p>
    <w:p w:rsidR="00604F7E" w:rsidRDefault="00604F7E" w:rsidP="0034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Ekvi</w:t>
      </w:r>
      <w:r w:rsidR="00DE2CDD">
        <w:rPr>
          <w:rFonts w:ascii="Times New Roman" w:hAnsi="Times New Roman" w:cs="Times New Roman"/>
          <w:sz w:val="24"/>
          <w:szCs w:val="24"/>
        </w:rPr>
        <w:t>valens</w:t>
      </w:r>
      <w:r>
        <w:rPr>
          <w:rFonts w:ascii="Times New Roman" w:hAnsi="Times New Roman" w:cs="Times New Roman"/>
          <w:sz w:val="24"/>
          <w:szCs w:val="24"/>
        </w:rPr>
        <w:t xml:space="preserve">punkten ligger vid pH 7. </w:t>
      </w:r>
    </w:p>
    <w:p w:rsidR="00604F7E" w:rsidRDefault="00604F7E" w:rsidP="003406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NaOH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=2,3 ml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Syra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=25 ml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NaOH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 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</w:p>
    <w:p w:rsidR="00604F7E" w:rsidRPr="00604F7E" w:rsidRDefault="00DE2CDD" w:rsidP="003406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Ekvivalens</w:t>
      </w:r>
      <w:r w:rsidR="00604F7E">
        <w:rPr>
          <w:rFonts w:ascii="Times New Roman" w:eastAsiaTheme="minorEastAsia" w:hAnsi="Times New Roman" w:cs="Times New Roman"/>
          <w:sz w:val="24"/>
          <w:szCs w:val="24"/>
        </w:rPr>
        <w:t>punkten ger förhållandet:</w:t>
      </w:r>
    </w:p>
    <w:p w:rsidR="00604F7E" w:rsidRDefault="00604F7E" w:rsidP="003406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NaOH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NaOH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Syra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Syra</m:t>
              </m:r>
            </m:sub>
          </m:sSub>
        </m:oMath>
      </m:oMathPara>
    </w:p>
    <w:p w:rsidR="00604F7E" w:rsidRDefault="00604F7E" w:rsidP="003406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Syra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NaOH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NaOH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Syra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0,1*25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=1,09 M</m:t>
          </m:r>
        </m:oMath>
      </m:oMathPara>
    </w:p>
    <w:p w:rsidR="00DE2CDD" w:rsidRDefault="00DE2CDD" w:rsidP="0034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Vid halvtitrerpunkten är pH</w:t>
      </w:r>
      <w:r w:rsidRPr="00DE2CDD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DE2CDD">
        <w:rPr>
          <w:rFonts w:ascii="Times New Roman" w:hAnsi="Times New Roman" w:cs="Times New Roman"/>
          <w:sz w:val="24"/>
          <w:szCs w:val="24"/>
        </w:rPr>
        <w:t>PK</w:t>
      </w:r>
      <w:r w:rsidRPr="00DE2CD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E2CDD">
        <w:rPr>
          <w:rFonts w:ascii="Times New Roman" w:hAnsi="Times New Roman" w:cs="Times New Roman"/>
          <w:sz w:val="24"/>
          <w:szCs w:val="24"/>
        </w:rPr>
        <w:t>-värde</w:t>
      </w:r>
      <w:r>
        <w:rPr>
          <w:rFonts w:ascii="Times New Roman" w:hAnsi="Times New Roman" w:cs="Times New Roman"/>
          <w:sz w:val="24"/>
          <w:szCs w:val="24"/>
        </w:rPr>
        <w:t xml:space="preserve">. Vilket ges ur grafen. </w:t>
      </w:r>
      <w:r w:rsidRPr="00DE2CDD">
        <w:rPr>
          <w:rFonts w:ascii="Times New Roman" w:hAnsi="Times New Roman" w:cs="Times New Roman"/>
          <w:sz w:val="24"/>
          <w:szCs w:val="24"/>
        </w:rPr>
        <w:t>PK</w:t>
      </w:r>
      <w:r w:rsidRPr="00DE2CD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E2CDD">
        <w:rPr>
          <w:rFonts w:ascii="Times New Roman" w:hAnsi="Times New Roman" w:cs="Times New Roman"/>
          <w:sz w:val="24"/>
          <w:szCs w:val="24"/>
        </w:rPr>
        <w:t>-värde</w:t>
      </w:r>
      <w:r>
        <w:rPr>
          <w:rFonts w:ascii="Times New Roman" w:hAnsi="Times New Roman" w:cs="Times New Roman"/>
          <w:sz w:val="24"/>
          <w:szCs w:val="24"/>
        </w:rPr>
        <w:t xml:space="preserve">≈2,6 </w:t>
      </w:r>
    </w:p>
    <w:p w:rsidR="00DE2CDD" w:rsidRDefault="00DE2CDD" w:rsidP="003406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Syra 2:</w:t>
      </w:r>
    </w:p>
    <w:p w:rsidR="00DE2CDD" w:rsidRDefault="00DE2CDD" w:rsidP="00DE2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Ekvivalenspunkten ligger vid pH 8,7. </w:t>
      </w:r>
    </w:p>
    <w:p w:rsidR="00DE2CDD" w:rsidRDefault="00DE2CDD" w:rsidP="00DE2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NaOH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=126 ml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Syra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=25 ml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NaOH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 M</m:t>
          </m:r>
        </m:oMath>
      </m:oMathPara>
    </w:p>
    <w:p w:rsidR="00DE2CDD" w:rsidRPr="00604F7E" w:rsidRDefault="00DE2CDD" w:rsidP="00DE2CD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Ekvivalenspunkten ger förhållandet:</w:t>
      </w:r>
    </w:p>
    <w:p w:rsidR="00DE2CDD" w:rsidRDefault="00DE2CDD" w:rsidP="00DE2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NaOH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NaOH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Syra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Syra</m:t>
              </m:r>
            </m:sub>
          </m:sSub>
        </m:oMath>
      </m:oMathPara>
    </w:p>
    <w:p w:rsidR="00DE2CDD" w:rsidRDefault="00DE2CDD" w:rsidP="00DE2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Syra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NaOH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NaOH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Syra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0,1*25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≈0,02 M</m:t>
          </m:r>
        </m:oMath>
      </m:oMathPara>
    </w:p>
    <w:p w:rsidR="00DE2CDD" w:rsidRDefault="00DE2CDD" w:rsidP="00DE2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Vid halvtitrerpunkten är pH</w:t>
      </w:r>
      <w:r w:rsidRPr="00DE2CDD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DE2CDD">
        <w:rPr>
          <w:rFonts w:ascii="Times New Roman" w:hAnsi="Times New Roman" w:cs="Times New Roman"/>
          <w:sz w:val="24"/>
          <w:szCs w:val="24"/>
        </w:rPr>
        <w:t>PK</w:t>
      </w:r>
      <w:r w:rsidRPr="00DE2CD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E2CDD">
        <w:rPr>
          <w:rFonts w:ascii="Times New Roman" w:hAnsi="Times New Roman" w:cs="Times New Roman"/>
          <w:sz w:val="24"/>
          <w:szCs w:val="24"/>
        </w:rPr>
        <w:t>-värde</w:t>
      </w:r>
      <w:r>
        <w:rPr>
          <w:rFonts w:ascii="Times New Roman" w:hAnsi="Times New Roman" w:cs="Times New Roman"/>
          <w:sz w:val="24"/>
          <w:szCs w:val="24"/>
        </w:rPr>
        <w:t xml:space="preserve">. Vilket ges ur grafen. </w:t>
      </w:r>
      <w:r w:rsidRPr="00DE2CDD">
        <w:rPr>
          <w:rFonts w:ascii="Times New Roman" w:hAnsi="Times New Roman" w:cs="Times New Roman"/>
          <w:sz w:val="24"/>
          <w:szCs w:val="24"/>
        </w:rPr>
        <w:t>PK</w:t>
      </w:r>
      <w:r w:rsidRPr="00DE2CD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E2CDD">
        <w:rPr>
          <w:rFonts w:ascii="Times New Roman" w:hAnsi="Times New Roman" w:cs="Times New Roman"/>
          <w:sz w:val="24"/>
          <w:szCs w:val="24"/>
        </w:rPr>
        <w:t>-värde</w:t>
      </w:r>
      <w:r>
        <w:rPr>
          <w:rFonts w:ascii="Times New Roman" w:hAnsi="Times New Roman" w:cs="Times New Roman"/>
          <w:sz w:val="24"/>
          <w:szCs w:val="24"/>
        </w:rPr>
        <w:t xml:space="preserve">≈4,6 </w:t>
      </w:r>
    </w:p>
    <w:p w:rsidR="00DE2CDD" w:rsidRPr="00DE2CDD" w:rsidRDefault="00DE2CDD" w:rsidP="003406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2CDD" w:rsidRPr="00DE2CDD" w:rsidRDefault="00DE2CDD" w:rsidP="003406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406CA" w:rsidRPr="00B607FE" w:rsidRDefault="0011755C" w:rsidP="0011755C">
      <w:pPr>
        <w:pStyle w:val="Rubrik1"/>
        <w:rPr>
          <w:rFonts w:ascii="Times New Roman" w:hAnsi="Times New Roman" w:cs="Times New Roman"/>
        </w:rPr>
      </w:pPr>
      <w:r w:rsidRPr="00B607FE">
        <w:rPr>
          <w:rFonts w:ascii="Times New Roman" w:hAnsi="Times New Roman" w:cs="Times New Roman"/>
        </w:rPr>
        <w:t>Diskussion:</w:t>
      </w:r>
    </w:p>
    <w:p w:rsidR="00BA06A7" w:rsidRDefault="00DE2CDD" w:rsidP="00BA0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Syra 1s ekvivalenspunkt var vid pH=7 detta betyder att det var en stark syra, då man blandar en stark syra och en stark bas bildas ett neutralt salt där av pH=7. </w:t>
      </w:r>
    </w:p>
    <w:p w:rsidR="00DE2CDD" w:rsidRDefault="00DE2CDD" w:rsidP="00BA06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Koncentrationen av syran var </w:t>
      </w:r>
      <w:r w:rsidR="001022D1">
        <w:rPr>
          <w:rFonts w:ascii="Times New Roman" w:eastAsiaTheme="minorEastAsia" w:hAnsi="Times New Roman" w:cs="Times New Roman"/>
          <w:sz w:val="24"/>
          <w:szCs w:val="24"/>
        </w:rPr>
        <w:t xml:space="preserve">1,09 M alltså en väldigt koncentrerad syra. </w:t>
      </w:r>
    </w:p>
    <w:p w:rsidR="001022D1" w:rsidRDefault="001022D1" w:rsidP="00BA06A7">
      <w:pPr>
        <w:rPr>
          <w:rFonts w:ascii="Times New Roman" w:hAnsi="Times New Roman" w:cs="Times New Roman"/>
          <w:sz w:val="24"/>
          <w:szCs w:val="24"/>
        </w:rPr>
      </w:pPr>
      <w:r w:rsidRPr="001022D1">
        <w:rPr>
          <w:rFonts w:ascii="Times New Roman" w:eastAsiaTheme="minorEastAsia" w:hAnsi="Times New Roman" w:cs="Times New Roman"/>
          <w:sz w:val="24"/>
          <w:szCs w:val="24"/>
        </w:rPr>
        <w:t xml:space="preserve">Vid halvtitrerpunkten är </w:t>
      </w:r>
      <w:r w:rsidRPr="001022D1">
        <w:rPr>
          <w:rFonts w:ascii="Times New Roman" w:hAnsi="Times New Roman" w:cs="Times New Roman"/>
          <w:sz w:val="24"/>
          <w:szCs w:val="24"/>
          <w:shd w:val="clear" w:color="auto" w:fill="FDFDFD"/>
        </w:rPr>
        <w:t>[HA] = [A</w:t>
      </w:r>
      <w:r w:rsidRPr="001022D1">
        <w:rPr>
          <w:rFonts w:ascii="Times New Roman" w:hAnsi="Times New Roman" w:cs="Times New Roman"/>
          <w:sz w:val="24"/>
          <w:szCs w:val="24"/>
          <w:shd w:val="clear" w:color="auto" w:fill="FDFDFD"/>
          <w:vertAlign w:val="superscript"/>
        </w:rPr>
        <w:t>-</w:t>
      </w:r>
      <w:r w:rsidRPr="001022D1">
        <w:rPr>
          <w:rFonts w:ascii="Times New Roman" w:hAnsi="Times New Roman" w:cs="Times New Roman"/>
          <w:sz w:val="24"/>
          <w:szCs w:val="24"/>
          <w:shd w:val="clear" w:color="auto" w:fill="FDFDFD"/>
        </w:rPr>
        <w:t>] vilket ger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att i den punkten är </w:t>
      </w:r>
      <w:r>
        <w:rPr>
          <w:rFonts w:ascii="Times New Roman" w:eastAsiaTheme="minorEastAsia" w:hAnsi="Times New Roman" w:cs="Times New Roman"/>
          <w:sz w:val="24"/>
          <w:szCs w:val="24"/>
        </w:rPr>
        <w:t>pH</w:t>
      </w:r>
      <w:r w:rsidRPr="00DE2CDD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DE2CDD">
        <w:rPr>
          <w:rFonts w:ascii="Times New Roman" w:hAnsi="Times New Roman" w:cs="Times New Roman"/>
          <w:sz w:val="24"/>
          <w:szCs w:val="24"/>
        </w:rPr>
        <w:t>PK</w:t>
      </w:r>
      <w:r w:rsidRPr="00DE2CD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22D1" w:rsidRDefault="001022D1" w:rsidP="00BA06A7">
      <w:pPr>
        <w:rPr>
          <w:rFonts w:ascii="Times New Roman" w:hAnsi="Times New Roman" w:cs="Times New Roman"/>
          <w:sz w:val="24"/>
          <w:szCs w:val="24"/>
        </w:rPr>
      </w:pPr>
      <w:r w:rsidRPr="00DE2CDD">
        <w:rPr>
          <w:rFonts w:ascii="Times New Roman" w:hAnsi="Times New Roman" w:cs="Times New Roman"/>
          <w:sz w:val="24"/>
          <w:szCs w:val="24"/>
        </w:rPr>
        <w:t>PK</w:t>
      </w:r>
      <w:r w:rsidRPr="00DE2CD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för syra 1 var 2,6. Starkaa syror har lågt </w:t>
      </w:r>
      <w:r w:rsidRPr="00DE2CDD">
        <w:rPr>
          <w:rFonts w:ascii="Times New Roman" w:hAnsi="Times New Roman" w:cs="Times New Roman"/>
          <w:sz w:val="24"/>
          <w:szCs w:val="24"/>
        </w:rPr>
        <w:t>PK</w:t>
      </w:r>
      <w:r w:rsidRPr="00DE2CD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1022D1" w:rsidRDefault="001022D1" w:rsidP="00BA06A7">
      <w:pPr>
        <w:rPr>
          <w:rFonts w:ascii="Times New Roman" w:hAnsi="Times New Roman" w:cs="Times New Roman"/>
          <w:sz w:val="24"/>
          <w:szCs w:val="24"/>
        </w:rPr>
      </w:pPr>
    </w:p>
    <w:p w:rsidR="001022D1" w:rsidRDefault="001022D1" w:rsidP="00BA0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Syras då ekvivalens var vid pH=8,7 då ekvivalenspunkt var vid ett pH högre en 7 betyder det att syran är en svag syra. Då en svag syra och en stark bas ger ett basiskt salt. </w:t>
      </w:r>
    </w:p>
    <w:p w:rsidR="001022D1" w:rsidRDefault="001022D1" w:rsidP="00BA0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Koncentrationen för syran var 0,02 alltså en svagt koncentrerad syra. </w:t>
      </w:r>
    </w:p>
    <w:p w:rsidR="001022D1" w:rsidRPr="001022D1" w:rsidRDefault="001022D1" w:rsidP="00BA06A7">
      <w:pPr>
        <w:rPr>
          <w:rFonts w:ascii="Times New Roman" w:hAnsi="Times New Roman" w:cs="Times New Roman"/>
          <w:sz w:val="24"/>
          <w:szCs w:val="24"/>
        </w:rPr>
      </w:pPr>
      <w:r w:rsidRPr="00DE2CDD">
        <w:rPr>
          <w:rFonts w:ascii="Times New Roman" w:hAnsi="Times New Roman" w:cs="Times New Roman"/>
          <w:sz w:val="24"/>
          <w:szCs w:val="24"/>
        </w:rPr>
        <w:t>PK</w:t>
      </w:r>
      <w:r w:rsidRPr="00DE2CD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för syran var 4,6. Svaga syror har högt </w:t>
      </w:r>
      <w:r w:rsidRPr="00DE2CDD">
        <w:rPr>
          <w:rFonts w:ascii="Times New Roman" w:hAnsi="Times New Roman" w:cs="Times New Roman"/>
          <w:sz w:val="24"/>
          <w:szCs w:val="24"/>
        </w:rPr>
        <w:t>PK</w:t>
      </w:r>
      <w:r w:rsidRPr="00DE2CD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BA06A7" w:rsidRPr="00B607FE" w:rsidRDefault="00BA06A7" w:rsidP="000C325A">
      <w:pPr>
        <w:rPr>
          <w:rFonts w:ascii="Times New Roman" w:hAnsi="Times New Roman" w:cs="Times New Roman"/>
          <w:sz w:val="24"/>
          <w:szCs w:val="24"/>
        </w:rPr>
      </w:pPr>
    </w:p>
    <w:p w:rsidR="0011755C" w:rsidRPr="00B607FE" w:rsidRDefault="0011755C" w:rsidP="0011755C">
      <w:pPr>
        <w:pStyle w:val="Rubrik1"/>
        <w:rPr>
          <w:rFonts w:ascii="Times New Roman" w:hAnsi="Times New Roman" w:cs="Times New Roman"/>
        </w:rPr>
      </w:pPr>
      <w:r w:rsidRPr="00B607FE">
        <w:rPr>
          <w:rFonts w:ascii="Times New Roman" w:hAnsi="Times New Roman" w:cs="Times New Roman"/>
        </w:rPr>
        <w:t>Referenser:</w:t>
      </w:r>
    </w:p>
    <w:p w:rsidR="00FA185A" w:rsidRPr="0012281C" w:rsidRDefault="00D45B08" w:rsidP="00FA185A">
      <w:pPr>
        <w:rPr>
          <w:rFonts w:ascii="Times New Roman" w:hAnsi="Times New Roman" w:cs="Times New Roman"/>
          <w:sz w:val="24"/>
          <w:szCs w:val="24"/>
        </w:rPr>
      </w:pPr>
      <w:r w:rsidRPr="0012281C">
        <w:rPr>
          <w:rFonts w:ascii="Times New Roman" w:hAnsi="Times New Roman" w:cs="Times New Roman"/>
          <w:sz w:val="24"/>
          <w:szCs w:val="24"/>
        </w:rPr>
        <w:t>Gymnasie Kemi 2</w:t>
      </w:r>
      <w:r w:rsidR="005910A2" w:rsidRPr="0012281C">
        <w:rPr>
          <w:rFonts w:ascii="Times New Roman" w:hAnsi="Times New Roman" w:cs="Times New Roman"/>
          <w:sz w:val="24"/>
          <w:szCs w:val="24"/>
        </w:rPr>
        <w:t xml:space="preserve"> Andersson Sonesson Svahn Tullberg</w:t>
      </w:r>
    </w:p>
    <w:p w:rsidR="00FA185A" w:rsidRPr="0012281C" w:rsidRDefault="0012281C" w:rsidP="0012281C">
      <w:pPr>
        <w:rPr>
          <w:rFonts w:ascii="Times New Roman" w:hAnsi="Times New Roman" w:cs="Times New Roman"/>
          <w:sz w:val="24"/>
          <w:szCs w:val="24"/>
        </w:rPr>
      </w:pPr>
      <w:r w:rsidRPr="0012281C">
        <w:rPr>
          <w:rFonts w:ascii="Times New Roman" w:hAnsi="Times New Roman" w:cs="Times New Roman"/>
          <w:sz w:val="24"/>
          <w:szCs w:val="24"/>
        </w:rPr>
        <w:t>Anders Nilsson</w:t>
      </w:r>
    </w:p>
    <w:sectPr w:rsidR="00FA185A" w:rsidRPr="0012281C" w:rsidSect="00D8579C">
      <w:head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FB0" w:rsidRDefault="002C1FB0" w:rsidP="00101726">
      <w:pPr>
        <w:spacing w:after="0" w:line="240" w:lineRule="auto"/>
      </w:pPr>
      <w:r>
        <w:separator/>
      </w:r>
    </w:p>
  </w:endnote>
  <w:endnote w:type="continuationSeparator" w:id="0">
    <w:p w:rsidR="002C1FB0" w:rsidRDefault="002C1FB0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FB0" w:rsidRDefault="002C1FB0" w:rsidP="00101726">
      <w:pPr>
        <w:spacing w:after="0" w:line="240" w:lineRule="auto"/>
      </w:pPr>
      <w:r>
        <w:separator/>
      </w:r>
    </w:p>
  </w:footnote>
  <w:footnote w:type="continuationSeparator" w:id="0">
    <w:p w:rsidR="002C1FB0" w:rsidRDefault="002C1FB0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280" w:rsidRDefault="005B1280">
    <w:pPr>
      <w:pStyle w:val="Sidhuvud"/>
    </w:pPr>
    <w:r>
      <w:t xml:space="preserve">Av: Emil Nygren </w:t>
    </w:r>
  </w:p>
  <w:p w:rsidR="005B1280" w:rsidRDefault="008F6FC4">
    <w:pPr>
      <w:pStyle w:val="Sidhuvud"/>
    </w:pPr>
    <w:r>
      <w:t>NN3</w:t>
    </w:r>
    <w:r w:rsidR="005B1280">
      <w:t>a</w:t>
    </w:r>
  </w:p>
  <w:p w:rsidR="005B1280" w:rsidRDefault="00A351C0">
    <w:pPr>
      <w:pStyle w:val="Sidhuvud"/>
    </w:pPr>
    <w:r>
      <w:t xml:space="preserve">                                                            </w:t>
    </w:r>
    <w:r w:rsidR="005B1280">
      <w:t xml:space="preserve">                                    </w:t>
    </w:r>
    <w:r w:rsidR="007527F0">
      <w:t xml:space="preserve">                              </w:t>
    </w:r>
    <w:r w:rsidR="008F6FC4">
      <w:t xml:space="preserve">  </w:t>
    </w:r>
    <w:r>
      <w:t xml:space="preserve">                     Datum: 16/5</w:t>
    </w:r>
    <w:r w:rsidR="008F6FC4">
      <w:t xml:space="preserve"> 2014</w:t>
    </w:r>
  </w:p>
  <w:p w:rsidR="005B1280" w:rsidRDefault="005B1280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7E32"/>
    <w:multiLevelType w:val="multilevel"/>
    <w:tmpl w:val="17B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711E3"/>
    <w:multiLevelType w:val="hybridMultilevel"/>
    <w:tmpl w:val="B28672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F0281"/>
    <w:multiLevelType w:val="hybridMultilevel"/>
    <w:tmpl w:val="5E8A63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35A8B"/>
    <w:multiLevelType w:val="hybridMultilevel"/>
    <w:tmpl w:val="8E04A9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14B4C"/>
    <w:multiLevelType w:val="hybridMultilevel"/>
    <w:tmpl w:val="CA9A16E2"/>
    <w:lvl w:ilvl="0" w:tplc="041D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4234772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4640485"/>
    <w:multiLevelType w:val="hybridMultilevel"/>
    <w:tmpl w:val="1CA2EB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F5FD8"/>
    <w:multiLevelType w:val="hybridMultilevel"/>
    <w:tmpl w:val="6B1EDC1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A1794"/>
    <w:multiLevelType w:val="hybridMultilevel"/>
    <w:tmpl w:val="6E9A6D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26992"/>
    <w:multiLevelType w:val="hybridMultilevel"/>
    <w:tmpl w:val="AEB4D11A"/>
    <w:lvl w:ilvl="0" w:tplc="041D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33643"/>
    <w:multiLevelType w:val="hybridMultilevel"/>
    <w:tmpl w:val="C2C82F3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76954"/>
    <w:multiLevelType w:val="hybridMultilevel"/>
    <w:tmpl w:val="1474EF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E3EA9"/>
    <w:multiLevelType w:val="hybridMultilevel"/>
    <w:tmpl w:val="D7CE9C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"/>
  </w:num>
  <w:num w:numId="5">
    <w:abstractNumId w:val="5"/>
  </w:num>
  <w:num w:numId="6">
    <w:abstractNumId w:val="7"/>
  </w:num>
  <w:num w:numId="7">
    <w:abstractNumId w:val="12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13"/>
  </w:num>
  <w:num w:numId="13">
    <w:abstractNumId w:val="4"/>
  </w:num>
  <w:num w:numId="14">
    <w:abstractNumId w:val="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57346">
      <o:colormru v:ext="edit" colors="#b5b4b1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66DC1"/>
    <w:rsid w:val="00070316"/>
    <w:rsid w:val="00096239"/>
    <w:rsid w:val="000A16EB"/>
    <w:rsid w:val="000B47EC"/>
    <w:rsid w:val="000C325A"/>
    <w:rsid w:val="00101726"/>
    <w:rsid w:val="001022D1"/>
    <w:rsid w:val="00105C84"/>
    <w:rsid w:val="00111F9A"/>
    <w:rsid w:val="0011755C"/>
    <w:rsid w:val="0012281C"/>
    <w:rsid w:val="001559B9"/>
    <w:rsid w:val="00170669"/>
    <w:rsid w:val="00185092"/>
    <w:rsid w:val="00187319"/>
    <w:rsid w:val="001A4251"/>
    <w:rsid w:val="001D51ED"/>
    <w:rsid w:val="001F66DF"/>
    <w:rsid w:val="0020733C"/>
    <w:rsid w:val="0022096C"/>
    <w:rsid w:val="00246138"/>
    <w:rsid w:val="0024670E"/>
    <w:rsid w:val="00250894"/>
    <w:rsid w:val="00263E63"/>
    <w:rsid w:val="002C1FB0"/>
    <w:rsid w:val="002C265C"/>
    <w:rsid w:val="002D50A1"/>
    <w:rsid w:val="002D56F7"/>
    <w:rsid w:val="002E6AA7"/>
    <w:rsid w:val="002F7C80"/>
    <w:rsid w:val="00302FAD"/>
    <w:rsid w:val="003149CD"/>
    <w:rsid w:val="0032252D"/>
    <w:rsid w:val="00324042"/>
    <w:rsid w:val="0033659A"/>
    <w:rsid w:val="003406CA"/>
    <w:rsid w:val="0034461C"/>
    <w:rsid w:val="003548FE"/>
    <w:rsid w:val="00376EFB"/>
    <w:rsid w:val="00382B23"/>
    <w:rsid w:val="00383FDE"/>
    <w:rsid w:val="003A7D9B"/>
    <w:rsid w:val="003B093C"/>
    <w:rsid w:val="003F13C7"/>
    <w:rsid w:val="00402F5C"/>
    <w:rsid w:val="00411DF1"/>
    <w:rsid w:val="00413C23"/>
    <w:rsid w:val="004449F3"/>
    <w:rsid w:val="0045413F"/>
    <w:rsid w:val="00484774"/>
    <w:rsid w:val="004911F1"/>
    <w:rsid w:val="004B1ED6"/>
    <w:rsid w:val="004C4118"/>
    <w:rsid w:val="005303C8"/>
    <w:rsid w:val="00555DD2"/>
    <w:rsid w:val="00565A42"/>
    <w:rsid w:val="00580360"/>
    <w:rsid w:val="00580FDF"/>
    <w:rsid w:val="005910A2"/>
    <w:rsid w:val="005B1280"/>
    <w:rsid w:val="005B4EFD"/>
    <w:rsid w:val="005E06B9"/>
    <w:rsid w:val="005F78C4"/>
    <w:rsid w:val="00604F7E"/>
    <w:rsid w:val="00612C5E"/>
    <w:rsid w:val="006163C1"/>
    <w:rsid w:val="00616EF5"/>
    <w:rsid w:val="00632133"/>
    <w:rsid w:val="0063484C"/>
    <w:rsid w:val="00636411"/>
    <w:rsid w:val="00640A91"/>
    <w:rsid w:val="00654483"/>
    <w:rsid w:val="0066259E"/>
    <w:rsid w:val="00690403"/>
    <w:rsid w:val="006C4917"/>
    <w:rsid w:val="006E420C"/>
    <w:rsid w:val="006E60E0"/>
    <w:rsid w:val="006E6870"/>
    <w:rsid w:val="006F35D2"/>
    <w:rsid w:val="006F653F"/>
    <w:rsid w:val="00702200"/>
    <w:rsid w:val="007118BB"/>
    <w:rsid w:val="00733253"/>
    <w:rsid w:val="007359E4"/>
    <w:rsid w:val="007527F0"/>
    <w:rsid w:val="007556DB"/>
    <w:rsid w:val="00763BDC"/>
    <w:rsid w:val="007805CA"/>
    <w:rsid w:val="0079402C"/>
    <w:rsid w:val="00794227"/>
    <w:rsid w:val="007A6A75"/>
    <w:rsid w:val="007B174D"/>
    <w:rsid w:val="007C72B9"/>
    <w:rsid w:val="007D4E6A"/>
    <w:rsid w:val="00803F02"/>
    <w:rsid w:val="00811E2D"/>
    <w:rsid w:val="008170CC"/>
    <w:rsid w:val="008251A0"/>
    <w:rsid w:val="0082636E"/>
    <w:rsid w:val="00842243"/>
    <w:rsid w:val="00847F9C"/>
    <w:rsid w:val="00853240"/>
    <w:rsid w:val="00885E0F"/>
    <w:rsid w:val="008B0E60"/>
    <w:rsid w:val="008C3DA1"/>
    <w:rsid w:val="008D0D11"/>
    <w:rsid w:val="008D5868"/>
    <w:rsid w:val="008F6FC4"/>
    <w:rsid w:val="00912CA6"/>
    <w:rsid w:val="00965E12"/>
    <w:rsid w:val="00980BA5"/>
    <w:rsid w:val="009A1144"/>
    <w:rsid w:val="00A1106A"/>
    <w:rsid w:val="00A13F6F"/>
    <w:rsid w:val="00A31F46"/>
    <w:rsid w:val="00A34D72"/>
    <w:rsid w:val="00A351C0"/>
    <w:rsid w:val="00A6344A"/>
    <w:rsid w:val="00A73439"/>
    <w:rsid w:val="00AA162C"/>
    <w:rsid w:val="00AB2C41"/>
    <w:rsid w:val="00AB5FC9"/>
    <w:rsid w:val="00AE299A"/>
    <w:rsid w:val="00AF46A8"/>
    <w:rsid w:val="00B03EC6"/>
    <w:rsid w:val="00B16636"/>
    <w:rsid w:val="00B21958"/>
    <w:rsid w:val="00B277F6"/>
    <w:rsid w:val="00B30D06"/>
    <w:rsid w:val="00B514BF"/>
    <w:rsid w:val="00B52E49"/>
    <w:rsid w:val="00B607FE"/>
    <w:rsid w:val="00B71BAC"/>
    <w:rsid w:val="00B83119"/>
    <w:rsid w:val="00B907BB"/>
    <w:rsid w:val="00BA06A7"/>
    <w:rsid w:val="00BC198D"/>
    <w:rsid w:val="00BD3055"/>
    <w:rsid w:val="00BE0570"/>
    <w:rsid w:val="00BE1725"/>
    <w:rsid w:val="00BE3444"/>
    <w:rsid w:val="00C015B4"/>
    <w:rsid w:val="00C07562"/>
    <w:rsid w:val="00C10F2A"/>
    <w:rsid w:val="00C16039"/>
    <w:rsid w:val="00C2396C"/>
    <w:rsid w:val="00C52282"/>
    <w:rsid w:val="00C61515"/>
    <w:rsid w:val="00C62BB8"/>
    <w:rsid w:val="00C6558E"/>
    <w:rsid w:val="00C67680"/>
    <w:rsid w:val="00C720A5"/>
    <w:rsid w:val="00C73036"/>
    <w:rsid w:val="00C91290"/>
    <w:rsid w:val="00C93334"/>
    <w:rsid w:val="00CA3D5A"/>
    <w:rsid w:val="00CB36E7"/>
    <w:rsid w:val="00CB472B"/>
    <w:rsid w:val="00CE6C83"/>
    <w:rsid w:val="00D06515"/>
    <w:rsid w:val="00D1471D"/>
    <w:rsid w:val="00D17BE1"/>
    <w:rsid w:val="00D45B08"/>
    <w:rsid w:val="00D464CC"/>
    <w:rsid w:val="00D46FD0"/>
    <w:rsid w:val="00D557E1"/>
    <w:rsid w:val="00D64B25"/>
    <w:rsid w:val="00D64E04"/>
    <w:rsid w:val="00D80F57"/>
    <w:rsid w:val="00D82456"/>
    <w:rsid w:val="00D83A6A"/>
    <w:rsid w:val="00D8579C"/>
    <w:rsid w:val="00D97E9B"/>
    <w:rsid w:val="00DB778B"/>
    <w:rsid w:val="00DE2CDD"/>
    <w:rsid w:val="00DE4CAB"/>
    <w:rsid w:val="00E040AF"/>
    <w:rsid w:val="00E16B4D"/>
    <w:rsid w:val="00E21003"/>
    <w:rsid w:val="00E361D2"/>
    <w:rsid w:val="00E37467"/>
    <w:rsid w:val="00E51A59"/>
    <w:rsid w:val="00E56619"/>
    <w:rsid w:val="00E70895"/>
    <w:rsid w:val="00E72B76"/>
    <w:rsid w:val="00E84525"/>
    <w:rsid w:val="00EC2849"/>
    <w:rsid w:val="00ED73B6"/>
    <w:rsid w:val="00EF11A8"/>
    <w:rsid w:val="00EF28CB"/>
    <w:rsid w:val="00F00DCA"/>
    <w:rsid w:val="00F176F9"/>
    <w:rsid w:val="00F2295B"/>
    <w:rsid w:val="00F274C2"/>
    <w:rsid w:val="00F5702B"/>
    <w:rsid w:val="00F626C3"/>
    <w:rsid w:val="00F8226F"/>
    <w:rsid w:val="00F86B34"/>
    <w:rsid w:val="00FA185A"/>
    <w:rsid w:val="00FA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ru v:ext="edit" colors="#b5b4b1"/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02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02F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D55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rubrik">
    <w:name w:val="Subtitle"/>
    <w:basedOn w:val="Normal"/>
    <w:next w:val="Normal"/>
    <w:link w:val="UnderrubrikChar"/>
    <w:uiPriority w:val="11"/>
    <w:qFormat/>
    <w:rsid w:val="00263E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63E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302F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302F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etoning">
    <w:name w:val="Emphasis"/>
    <w:basedOn w:val="Standardstycketeckensnitt"/>
    <w:uiPriority w:val="20"/>
    <w:qFormat/>
    <w:rsid w:val="00DE2C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l.r.nygren\Downloads\v&#228;rde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l.r.nygren\Downloads\v&#228;rde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v-SE"/>
  <c:chart>
    <c:title>
      <c:tx>
        <c:rich>
          <a:bodyPr/>
          <a:lstStyle/>
          <a:p>
            <a:pPr>
              <a:defRPr/>
            </a:pPr>
            <a:r>
              <a:rPr lang="sv-SE"/>
              <a:t>Syra 1</a:t>
            </a:r>
          </a:p>
        </c:rich>
      </c:tx>
    </c:title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Blad1!$B$5:$B$23</c:f>
              <c:numCache>
                <c:formatCode>General</c:formatCode>
                <c:ptCount val="1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5.7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</c:numCache>
            </c:numRef>
          </c:xVal>
          <c:yVal>
            <c:numRef>
              <c:f>Blad1!$C$5:$C$23</c:f>
              <c:numCache>
                <c:formatCode>General</c:formatCode>
                <c:ptCount val="19"/>
                <c:pt idx="0">
                  <c:v>2.34</c:v>
                </c:pt>
                <c:pt idx="1">
                  <c:v>2.3499999999999996</c:v>
                </c:pt>
                <c:pt idx="2">
                  <c:v>2.42</c:v>
                </c:pt>
                <c:pt idx="3">
                  <c:v>2.57</c:v>
                </c:pt>
                <c:pt idx="4">
                  <c:v>3.01</c:v>
                </c:pt>
                <c:pt idx="5">
                  <c:v>8.9</c:v>
                </c:pt>
                <c:pt idx="6">
                  <c:v>11.11</c:v>
                </c:pt>
                <c:pt idx="7">
                  <c:v>11.42</c:v>
                </c:pt>
                <c:pt idx="8">
                  <c:v>11.6</c:v>
                </c:pt>
                <c:pt idx="9">
                  <c:v>11.69</c:v>
                </c:pt>
                <c:pt idx="10">
                  <c:v>11.76</c:v>
                </c:pt>
                <c:pt idx="11">
                  <c:v>11.84</c:v>
                </c:pt>
                <c:pt idx="12">
                  <c:v>11.88</c:v>
                </c:pt>
                <c:pt idx="13">
                  <c:v>11.92</c:v>
                </c:pt>
                <c:pt idx="14">
                  <c:v>11.950000000000001</c:v>
                </c:pt>
                <c:pt idx="15">
                  <c:v>11.99</c:v>
                </c:pt>
                <c:pt idx="16">
                  <c:v>12.02</c:v>
                </c:pt>
                <c:pt idx="17">
                  <c:v>12.04</c:v>
                </c:pt>
                <c:pt idx="18">
                  <c:v>12.06</c:v>
                </c:pt>
              </c:numCache>
            </c:numRef>
          </c:yVal>
          <c:smooth val="1"/>
        </c:ser>
        <c:axId val="152606976"/>
        <c:axId val="152689280"/>
      </c:scatterChart>
      <c:valAx>
        <c:axId val="1526069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Volym</a:t>
                </a:r>
                <a:r>
                  <a:rPr lang="sv-SE" baseline="0"/>
                  <a:t> NaOH [ml]</a:t>
                </a:r>
                <a:endParaRPr lang="sv-SE"/>
              </a:p>
            </c:rich>
          </c:tx>
        </c:title>
        <c:numFmt formatCode="General" sourceLinked="1"/>
        <c:maj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v-SE"/>
          </a:p>
        </c:txPr>
        <c:crossAx val="152689280"/>
        <c:crosses val="autoZero"/>
        <c:crossBetween val="midCat"/>
      </c:valAx>
      <c:valAx>
        <c:axId val="1526892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pH</a:t>
                </a:r>
              </a:p>
            </c:rich>
          </c:tx>
        </c:title>
        <c:numFmt formatCode="General" sourceLinked="1"/>
        <c:majorTickMark val="none"/>
        <c:tickLblPos val="nextTo"/>
        <c:crossAx val="152606976"/>
        <c:crosses val="autoZero"/>
        <c:crossBetween val="midCat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v-SE"/>
  <c:chart>
    <c:title>
      <c:tx>
        <c:rich>
          <a:bodyPr/>
          <a:lstStyle/>
          <a:p>
            <a:pPr>
              <a:defRPr/>
            </a:pPr>
            <a:r>
              <a:rPr lang="sv-SE"/>
              <a:t>Syra 2</a:t>
            </a:r>
          </a:p>
        </c:rich>
      </c:tx>
    </c:title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Blad1!$E$5:$E$94</c:f>
              <c:numCache>
                <c:formatCode>General</c:formatCode>
                <c:ptCount val="90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2.2000000000000002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6.2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8.5</c:v>
                </c:pt>
                <c:pt idx="17">
                  <c:v>9.5</c:v>
                </c:pt>
                <c:pt idx="18">
                  <c:v>10.5</c:v>
                </c:pt>
                <c:pt idx="19">
                  <c:v>11.5</c:v>
                </c:pt>
                <c:pt idx="20">
                  <c:v>12.5</c:v>
                </c:pt>
                <c:pt idx="21">
                  <c:v>13.5</c:v>
                </c:pt>
                <c:pt idx="22">
                  <c:v>14.5</c:v>
                </c:pt>
                <c:pt idx="23">
                  <c:v>15.5</c:v>
                </c:pt>
                <c:pt idx="24">
                  <c:v>17.5</c:v>
                </c:pt>
                <c:pt idx="25">
                  <c:v>19.5</c:v>
                </c:pt>
                <c:pt idx="26">
                  <c:v>21.5</c:v>
                </c:pt>
                <c:pt idx="27">
                  <c:v>23.5</c:v>
                </c:pt>
                <c:pt idx="28">
                  <c:v>25</c:v>
                </c:pt>
                <c:pt idx="29">
                  <c:v>27</c:v>
                </c:pt>
                <c:pt idx="30">
                  <c:v>29</c:v>
                </c:pt>
                <c:pt idx="31">
                  <c:v>31</c:v>
                </c:pt>
                <c:pt idx="32">
                  <c:v>33</c:v>
                </c:pt>
                <c:pt idx="33">
                  <c:v>35</c:v>
                </c:pt>
                <c:pt idx="34">
                  <c:v>37</c:v>
                </c:pt>
                <c:pt idx="35">
                  <c:v>39</c:v>
                </c:pt>
                <c:pt idx="36">
                  <c:v>41</c:v>
                </c:pt>
                <c:pt idx="37">
                  <c:v>43</c:v>
                </c:pt>
                <c:pt idx="38">
                  <c:v>45</c:v>
                </c:pt>
                <c:pt idx="39">
                  <c:v>47</c:v>
                </c:pt>
                <c:pt idx="40">
                  <c:v>49</c:v>
                </c:pt>
                <c:pt idx="41">
                  <c:v>50</c:v>
                </c:pt>
                <c:pt idx="42">
                  <c:v>52</c:v>
                </c:pt>
                <c:pt idx="43">
                  <c:v>54</c:v>
                </c:pt>
                <c:pt idx="44">
                  <c:v>56</c:v>
                </c:pt>
                <c:pt idx="45">
                  <c:v>58</c:v>
                </c:pt>
                <c:pt idx="46">
                  <c:v>60</c:v>
                </c:pt>
                <c:pt idx="47">
                  <c:v>62</c:v>
                </c:pt>
                <c:pt idx="48">
                  <c:v>64</c:v>
                </c:pt>
                <c:pt idx="49">
                  <c:v>66</c:v>
                </c:pt>
                <c:pt idx="50">
                  <c:v>68</c:v>
                </c:pt>
                <c:pt idx="51">
                  <c:v>70</c:v>
                </c:pt>
                <c:pt idx="52">
                  <c:v>72</c:v>
                </c:pt>
                <c:pt idx="53">
                  <c:v>74</c:v>
                </c:pt>
                <c:pt idx="54">
                  <c:v>75</c:v>
                </c:pt>
                <c:pt idx="55">
                  <c:v>77</c:v>
                </c:pt>
                <c:pt idx="56">
                  <c:v>80</c:v>
                </c:pt>
                <c:pt idx="57">
                  <c:v>83</c:v>
                </c:pt>
                <c:pt idx="58">
                  <c:v>86</c:v>
                </c:pt>
                <c:pt idx="59">
                  <c:v>89</c:v>
                </c:pt>
                <c:pt idx="60">
                  <c:v>92</c:v>
                </c:pt>
                <c:pt idx="61">
                  <c:v>95</c:v>
                </c:pt>
                <c:pt idx="62">
                  <c:v>98</c:v>
                </c:pt>
                <c:pt idx="63">
                  <c:v>100</c:v>
                </c:pt>
                <c:pt idx="64">
                  <c:v>103</c:v>
                </c:pt>
                <c:pt idx="65">
                  <c:v>106</c:v>
                </c:pt>
                <c:pt idx="66">
                  <c:v>109</c:v>
                </c:pt>
                <c:pt idx="67">
                  <c:v>112</c:v>
                </c:pt>
                <c:pt idx="68">
                  <c:v>115</c:v>
                </c:pt>
                <c:pt idx="69">
                  <c:v>117</c:v>
                </c:pt>
                <c:pt idx="70">
                  <c:v>121</c:v>
                </c:pt>
                <c:pt idx="71">
                  <c:v>123</c:v>
                </c:pt>
                <c:pt idx="72">
                  <c:v>125</c:v>
                </c:pt>
                <c:pt idx="73">
                  <c:v>126</c:v>
                </c:pt>
                <c:pt idx="74">
                  <c:v>127</c:v>
                </c:pt>
                <c:pt idx="75">
                  <c:v>128</c:v>
                </c:pt>
                <c:pt idx="76">
                  <c:v>129</c:v>
                </c:pt>
                <c:pt idx="77">
                  <c:v>130</c:v>
                </c:pt>
                <c:pt idx="78">
                  <c:v>131</c:v>
                </c:pt>
                <c:pt idx="79">
                  <c:v>132</c:v>
                </c:pt>
                <c:pt idx="80">
                  <c:v>133</c:v>
                </c:pt>
                <c:pt idx="81">
                  <c:v>134</c:v>
                </c:pt>
                <c:pt idx="82">
                  <c:v>136</c:v>
                </c:pt>
                <c:pt idx="83">
                  <c:v>138</c:v>
                </c:pt>
                <c:pt idx="84">
                  <c:v>140</c:v>
                </c:pt>
                <c:pt idx="85">
                  <c:v>142</c:v>
                </c:pt>
                <c:pt idx="86">
                  <c:v>144</c:v>
                </c:pt>
                <c:pt idx="87">
                  <c:v>146</c:v>
                </c:pt>
                <c:pt idx="88">
                  <c:v>148</c:v>
                </c:pt>
                <c:pt idx="89">
                  <c:v>150</c:v>
                </c:pt>
              </c:numCache>
            </c:numRef>
          </c:xVal>
          <c:yVal>
            <c:numRef>
              <c:f>Blad1!$F$5:$F$94</c:f>
              <c:numCache>
                <c:formatCode>General</c:formatCode>
                <c:ptCount val="90"/>
                <c:pt idx="0">
                  <c:v>2.52</c:v>
                </c:pt>
                <c:pt idx="1">
                  <c:v>2.6</c:v>
                </c:pt>
                <c:pt idx="2">
                  <c:v>2.73</c:v>
                </c:pt>
                <c:pt idx="3">
                  <c:v>2.8299999999999996</c:v>
                </c:pt>
                <c:pt idx="4">
                  <c:v>2.9299999999999997</c:v>
                </c:pt>
                <c:pt idx="5">
                  <c:v>2.98</c:v>
                </c:pt>
                <c:pt idx="6">
                  <c:v>3.03</c:v>
                </c:pt>
                <c:pt idx="7">
                  <c:v>3.1</c:v>
                </c:pt>
                <c:pt idx="8">
                  <c:v>3.16</c:v>
                </c:pt>
                <c:pt idx="9">
                  <c:v>3.22</c:v>
                </c:pt>
                <c:pt idx="10">
                  <c:v>3.25</c:v>
                </c:pt>
                <c:pt idx="11">
                  <c:v>3.29</c:v>
                </c:pt>
                <c:pt idx="12">
                  <c:v>3.3</c:v>
                </c:pt>
                <c:pt idx="13">
                  <c:v>3.36</c:v>
                </c:pt>
                <c:pt idx="14">
                  <c:v>3.3899999999999997</c:v>
                </c:pt>
                <c:pt idx="15">
                  <c:v>3.4299999999999997</c:v>
                </c:pt>
                <c:pt idx="16">
                  <c:v>3.4699999999999998</c:v>
                </c:pt>
                <c:pt idx="17">
                  <c:v>3.52</c:v>
                </c:pt>
                <c:pt idx="18">
                  <c:v>3.57</c:v>
                </c:pt>
                <c:pt idx="19">
                  <c:v>3.62</c:v>
                </c:pt>
                <c:pt idx="20">
                  <c:v>3.65</c:v>
                </c:pt>
                <c:pt idx="21">
                  <c:v>3.69</c:v>
                </c:pt>
                <c:pt idx="22">
                  <c:v>3.72</c:v>
                </c:pt>
                <c:pt idx="23">
                  <c:v>3.75</c:v>
                </c:pt>
                <c:pt idx="24">
                  <c:v>3.82</c:v>
                </c:pt>
                <c:pt idx="25">
                  <c:v>3.8499999999999996</c:v>
                </c:pt>
                <c:pt idx="26">
                  <c:v>3.92</c:v>
                </c:pt>
                <c:pt idx="27">
                  <c:v>3.98</c:v>
                </c:pt>
                <c:pt idx="28">
                  <c:v>4.01</c:v>
                </c:pt>
                <c:pt idx="29">
                  <c:v>4.04</c:v>
                </c:pt>
                <c:pt idx="30">
                  <c:v>4.09</c:v>
                </c:pt>
                <c:pt idx="31">
                  <c:v>4.13</c:v>
                </c:pt>
                <c:pt idx="32">
                  <c:v>4.1599999999999993</c:v>
                </c:pt>
                <c:pt idx="33">
                  <c:v>4.2</c:v>
                </c:pt>
                <c:pt idx="34">
                  <c:v>4.25</c:v>
                </c:pt>
                <c:pt idx="35">
                  <c:v>4.26</c:v>
                </c:pt>
                <c:pt idx="36">
                  <c:v>4.28</c:v>
                </c:pt>
                <c:pt idx="37">
                  <c:v>4.33</c:v>
                </c:pt>
                <c:pt idx="38">
                  <c:v>4.3499999999999996</c:v>
                </c:pt>
                <c:pt idx="39">
                  <c:v>4.4000000000000004</c:v>
                </c:pt>
                <c:pt idx="40">
                  <c:v>4.4300000000000006</c:v>
                </c:pt>
                <c:pt idx="41">
                  <c:v>4.45</c:v>
                </c:pt>
                <c:pt idx="42">
                  <c:v>4.4700000000000006</c:v>
                </c:pt>
                <c:pt idx="43">
                  <c:v>4.5</c:v>
                </c:pt>
                <c:pt idx="44">
                  <c:v>4.53</c:v>
                </c:pt>
                <c:pt idx="45">
                  <c:v>4.55</c:v>
                </c:pt>
                <c:pt idx="46">
                  <c:v>4.58</c:v>
                </c:pt>
                <c:pt idx="47">
                  <c:v>4.5999999999999996</c:v>
                </c:pt>
                <c:pt idx="48">
                  <c:v>4.6399999999999997</c:v>
                </c:pt>
                <c:pt idx="49">
                  <c:v>4.68</c:v>
                </c:pt>
                <c:pt idx="50">
                  <c:v>4.7</c:v>
                </c:pt>
                <c:pt idx="51">
                  <c:v>4.74</c:v>
                </c:pt>
                <c:pt idx="52">
                  <c:v>4.7699999999999996</c:v>
                </c:pt>
                <c:pt idx="53">
                  <c:v>4.79</c:v>
                </c:pt>
                <c:pt idx="54">
                  <c:v>4.79</c:v>
                </c:pt>
                <c:pt idx="55">
                  <c:v>4.8099999999999996</c:v>
                </c:pt>
                <c:pt idx="56">
                  <c:v>4.8499999999999996</c:v>
                </c:pt>
                <c:pt idx="57">
                  <c:v>4.9000000000000004</c:v>
                </c:pt>
                <c:pt idx="58">
                  <c:v>4.95</c:v>
                </c:pt>
                <c:pt idx="59">
                  <c:v>5</c:v>
                </c:pt>
                <c:pt idx="60">
                  <c:v>5.07</c:v>
                </c:pt>
                <c:pt idx="61">
                  <c:v>5.0999999999999996</c:v>
                </c:pt>
                <c:pt idx="62">
                  <c:v>5.17</c:v>
                </c:pt>
                <c:pt idx="63">
                  <c:v>5.2</c:v>
                </c:pt>
                <c:pt idx="64">
                  <c:v>5.28</c:v>
                </c:pt>
                <c:pt idx="65">
                  <c:v>5.3599999999999994</c:v>
                </c:pt>
                <c:pt idx="66">
                  <c:v>5.44</c:v>
                </c:pt>
                <c:pt idx="67">
                  <c:v>5.55</c:v>
                </c:pt>
                <c:pt idx="68">
                  <c:v>5.6599999999999993</c:v>
                </c:pt>
                <c:pt idx="69">
                  <c:v>5.8199999999999994</c:v>
                </c:pt>
                <c:pt idx="70">
                  <c:v>6.05</c:v>
                </c:pt>
                <c:pt idx="71">
                  <c:v>6.2700000000000005</c:v>
                </c:pt>
                <c:pt idx="72">
                  <c:v>6.7</c:v>
                </c:pt>
                <c:pt idx="73">
                  <c:v>7.21</c:v>
                </c:pt>
                <c:pt idx="74">
                  <c:v>9.25</c:v>
                </c:pt>
                <c:pt idx="75">
                  <c:v>10.07</c:v>
                </c:pt>
                <c:pt idx="76">
                  <c:v>10.639999999999999</c:v>
                </c:pt>
                <c:pt idx="77">
                  <c:v>10.950000000000001</c:v>
                </c:pt>
                <c:pt idx="78">
                  <c:v>11.139999999999999</c:v>
                </c:pt>
                <c:pt idx="79">
                  <c:v>11.28</c:v>
                </c:pt>
                <c:pt idx="80">
                  <c:v>11.370000000000001</c:v>
                </c:pt>
                <c:pt idx="81">
                  <c:v>11.450000000000001</c:v>
                </c:pt>
                <c:pt idx="82">
                  <c:v>11.55</c:v>
                </c:pt>
                <c:pt idx="83">
                  <c:v>11.629999999999999</c:v>
                </c:pt>
                <c:pt idx="84">
                  <c:v>11.7</c:v>
                </c:pt>
                <c:pt idx="85">
                  <c:v>11.739999999999998</c:v>
                </c:pt>
                <c:pt idx="86">
                  <c:v>11.78</c:v>
                </c:pt>
                <c:pt idx="87">
                  <c:v>11.82</c:v>
                </c:pt>
                <c:pt idx="88">
                  <c:v>11.850000000000001</c:v>
                </c:pt>
                <c:pt idx="89">
                  <c:v>11.88</c:v>
                </c:pt>
              </c:numCache>
            </c:numRef>
          </c:yVal>
          <c:smooth val="1"/>
        </c:ser>
        <c:axId val="155689344"/>
        <c:axId val="155691264"/>
      </c:scatterChart>
      <c:valAx>
        <c:axId val="1556893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Volym</a:t>
                </a:r>
                <a:r>
                  <a:rPr lang="sv-SE" baseline="0"/>
                  <a:t> NaOH [ml]</a:t>
                </a:r>
                <a:endParaRPr lang="sv-SE"/>
              </a:p>
            </c:rich>
          </c:tx>
        </c:title>
        <c:numFmt formatCode="General" sourceLinked="1"/>
        <c:maj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v-SE"/>
          </a:p>
        </c:txPr>
        <c:crossAx val="155691264"/>
        <c:crosses val="autoZero"/>
        <c:crossBetween val="midCat"/>
      </c:valAx>
      <c:valAx>
        <c:axId val="1556912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pH</a:t>
                </a:r>
              </a:p>
            </c:rich>
          </c:tx>
        </c:title>
        <c:numFmt formatCode="General" sourceLinked="1"/>
        <c:majorTickMark val="none"/>
        <c:tickLblPos val="nextTo"/>
        <c:crossAx val="155689344"/>
        <c:crosses val="autoZero"/>
        <c:crossBetween val="midCat"/>
      </c:valAx>
    </c:plotArea>
    <c:plotVisOnly val="1"/>
    <c:dispBlanksAs val="gap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E432F3"/>
    <w:rsid w:val="001F2D89"/>
    <w:rsid w:val="002675EE"/>
    <w:rsid w:val="002E026F"/>
    <w:rsid w:val="00E43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5E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2E026F"/>
    <w:rPr>
      <w:color w:val="808080"/>
    </w:rPr>
  </w:style>
  <w:style w:type="paragraph" w:customStyle="1" w:styleId="8AFE9F34A298420DAF6B2D5A176A7B0F">
    <w:name w:val="8AFE9F34A298420DAF6B2D5A176A7B0F"/>
    <w:rsid w:val="002675EE"/>
  </w:style>
  <w:style w:type="paragraph" w:customStyle="1" w:styleId="4A91794DA28A4B0992E87B3E4AE6398E">
    <w:name w:val="4A91794DA28A4B0992E87B3E4AE6398E"/>
    <w:rsid w:val="002675EE"/>
  </w:style>
  <w:style w:type="paragraph" w:customStyle="1" w:styleId="94F77D5CAEAB4ECB877D1F2DF41FB069">
    <w:name w:val="94F77D5CAEAB4ECB877D1F2DF41FB069"/>
    <w:rsid w:val="002E02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NN3a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5.xml><?xml version="1.0" encoding="utf-8"?>
<ds:datastoreItem xmlns:ds="http://schemas.openxmlformats.org/officeDocument/2006/customXml" ds:itemID="{F418D499-4F6F-47CC-8F67-EDF09736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600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          Syra-bas titrering</vt:lpstr>
    </vt:vector>
  </TitlesOfParts>
  <Company>Nacka Gymnasium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          Syra-bas titrering</dc:title>
  <dc:subject>Nacka Gymnasium</dc:subject>
  <dc:creator>Emil Nygren</dc:creator>
  <cp:lastModifiedBy>emil.r.nygren</cp:lastModifiedBy>
  <cp:revision>4</cp:revision>
  <cp:lastPrinted>2012-02-16T11:04:00Z</cp:lastPrinted>
  <dcterms:created xsi:type="dcterms:W3CDTF">2014-05-21T19:55:00Z</dcterms:created>
  <dcterms:modified xsi:type="dcterms:W3CDTF">2014-05-21T21:03:00Z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  <property fmtid="{D5CDD505-2E9C-101B-9397-08002B2CF9AE}" pid="4" name="Arbetsområde">
    <vt:lpwstr/>
  </property>
  <property fmtid="{D5CDD505-2E9C-101B-9397-08002B2CF9AE}" pid="5" name="UrkundResult">
    <vt:lpwstr/>
  </property>
  <property fmtid="{D5CDD505-2E9C-101B-9397-08002B2CF9AE}" pid="6" name="Utökad beskrivning">
    <vt:lpwstr/>
  </property>
  <property fmtid="{D5CDD505-2E9C-101B-9397-08002B2CF9AE}" pid="7" name="Elevkommentar">
    <vt:lpwstr/>
  </property>
  <property fmtid="{D5CDD505-2E9C-101B-9397-08002B2CF9AE}" pid="8" name="Lärarkommentar">
    <vt:lpwstr>Metoddelen saknar beskrivning. Hur gick utvärderingen av mätresultaten till? För mer information, se kommentarerna i texten.</vt:lpwstr>
  </property>
  <property fmtid="{D5CDD505-2E9C-101B-9397-08002B2CF9AE}" pid="9" name="Lärarstatus">
    <vt:lpwstr>Klar</vt:lpwstr>
  </property>
</Properties>
</file>