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onsolas" w:hAnsi="Consolas" w:eastAsia="Consolas"/>
          <w:b/>
          <w:i w:val="0"/>
          <w:color w:val="EB0A1E"/>
          <w:sz w:val="17"/>
        </w:rPr>
        <w:t>GLOBAL AUTO INDUSTRY  ·  2026</w:t>
      </w:r>
    </w:p>
    <w:p>
      <w:pPr>
        <w:spacing w:before="0" w:after="40"/>
      </w:pPr>
      <w:r>
        <w:rPr>
          <w:rFonts w:ascii="Georgia" w:hAnsi="Georgia" w:eastAsia="Georgia"/>
          <w:b/>
          <w:i w:val="0"/>
          <w:color w:val="1A1613"/>
          <w:sz w:val="60"/>
        </w:rPr>
        <w:t>The 2026 EV Reset</w:t>
      </w:r>
    </w:p>
    <w:p>
      <w:pPr>
        <w:spacing w:before="0" w:after="120"/>
      </w:pPr>
      <w:r>
        <w:rPr>
          <w:rFonts w:ascii="Georgia" w:hAnsi="Georgia" w:eastAsia="Georgia"/>
          <w:b w:val="0"/>
          <w:i/>
          <w:color w:val="756E65"/>
          <w:sz w:val="30"/>
        </w:rPr>
        <w:t>Almost everyone hit the brakes on EV-only.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224" w:type="dxa"/>
      </w:tblPr>
      <w:tblGrid>
        <w:gridCol w:w="1224"/>
      </w:tblGrid>
      <w:tr>
        <w:trPr>
          <w:trHeight w:val="64"/>
          <w:trHeight w:val="64" w:hRule="exact"/>
        </w:trPr>
        <w:tc>
          <w:tcPr>
            <w:tcW w:type="dxa" w:w="1224"/>
            <w:shd w:val="clear" w:color="auto" w:fill="EB0A1E"/>
          </w:tcPr>
          <w:p>
            <w:pPr>
              <w:spacing w:after="0"/>
            </w:pPr>
          </w:p>
        </w:tc>
      </w:tr>
    </w:tbl>
    <w:p>
      <w:pPr>
        <w:spacing w:before="160" w:after="80" w:line="300" w:lineRule="auto"/>
      </w:pPr>
      <w:r>
        <w:rPr>
          <w:rFonts w:ascii="Calibri" w:hAnsi="Calibri" w:eastAsia="Calibri"/>
          <w:b w:val="0"/>
          <w:i w:val="0"/>
          <w:color w:val="4A443D"/>
          <w:sz w:val="22"/>
        </w:rPr>
        <w:t>After going “all-in” on battery-electric from 2021–2024, one major automaker after another walked it back in 2026 — writing down billions and pivoting to hybrids and flexible, build-anything factories. Toyota, which never abandoned its multi-pathway bet, suddenly looks right.</w:t>
      </w:r>
    </w:p>
    <w:p>
      <w:pPr>
        <w:spacing w:before="0" w:after="0"/>
      </w:pPr>
      <w:r>
        <w:rPr>
          <w:rFonts w:ascii="Calibri" w:hAnsi="Calibri" w:eastAsia="Calibri"/>
          <w:b w:val="0"/>
          <w:i w:val="0"/>
          <w:color w:val="1A1613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9504" w:type="dxa"/>
      </w:tblPr>
      <w:tblGrid>
        <w:gridCol w:w="2995"/>
        <w:gridCol w:w="259"/>
        <w:gridCol w:w="2995"/>
        <w:gridCol w:w="259"/>
        <w:gridCol w:w="2995"/>
      </w:tblGrid>
      <w:tr>
        <w:tc>
          <w:tcPr>
            <w:tcW w:type="dxa" w:w="2995"/>
            <w:shd w:val="clear" w:color="auto" w:fill="F3F0EA"/>
            <w:tcMar>
              <w:top w:w="120" w:type="dxa"/>
              <w:bottom w:w="120" w:type="dxa"/>
              <w:start w:w="150" w:type="dxa"/>
              <w:end w:w="150" w:type="dxa"/>
            </w:tcMar>
            <w:vAlign w:val="top"/>
          </w:tcPr>
          <w:p>
            <w:pPr>
              <w:spacing w:after="60"/>
            </w:pPr>
            <w:r>
              <w:rPr>
                <w:rFonts w:ascii="Georgia" w:hAnsi="Georgia" w:eastAsia="Georgia"/>
                <w:b/>
                <w:i w:val="0"/>
                <w:color w:val="EB0A1E"/>
                <w:sz w:val="46"/>
              </w:rPr>
              <w:t>−27%</w:t>
            </w:r>
          </w:p>
          <w:p>
            <w:pPr>
              <w:spacing w:before="0" w:after="8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9"/>
              </w:rPr>
              <w:t>U.S. EV sales, Q1 2026 vs. a year earlier — demand growth stalled.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756E65"/>
                <w:sz w:val="16"/>
              </w:rPr>
              <w:t>Cox Automotive</w:t>
            </w:r>
          </w:p>
        </w:tc>
        <w:tc>
          <w:tcPr>
            <w:tcW w:type="dxa" w:w="259"/>
          </w:tcPr>
          <w:p/>
        </w:tc>
        <w:tc>
          <w:tcPr>
            <w:tcW w:type="dxa" w:w="2995"/>
            <w:shd w:val="clear" w:color="auto" w:fill="F3F0EA"/>
            <w:tcMar>
              <w:top w:w="120" w:type="dxa"/>
              <w:bottom w:w="120" w:type="dxa"/>
              <w:start w:w="150" w:type="dxa"/>
              <w:end w:w="150" w:type="dxa"/>
            </w:tcMar>
            <w:vAlign w:val="top"/>
          </w:tcPr>
          <w:p>
            <w:pPr>
              <w:spacing w:after="60"/>
            </w:pPr>
            <w:r>
              <w:rPr>
                <w:rFonts w:ascii="Georgia" w:hAnsi="Georgia" w:eastAsia="Georgia"/>
                <w:b/>
                <w:i w:val="0"/>
                <w:color w:val="EB0A1E"/>
                <w:sz w:val="46"/>
              </w:rPr>
              <w:t>$51.5B</w:t>
            </w:r>
          </w:p>
          <w:p>
            <w:pPr>
              <w:spacing w:before="0" w:after="8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9"/>
              </w:rPr>
              <w:t>Combined EV write-downs at just Ford, GM &amp; Stellantis.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756E65"/>
                <w:sz w:val="16"/>
              </w:rPr>
              <w:t>Company filings</w:t>
            </w:r>
          </w:p>
        </w:tc>
        <w:tc>
          <w:tcPr>
            <w:tcW w:type="dxa" w:w="259"/>
          </w:tcPr>
          <w:p/>
        </w:tc>
        <w:tc>
          <w:tcPr>
            <w:tcW w:type="dxa" w:w="2995"/>
            <w:shd w:val="clear" w:color="auto" w:fill="F3F0EA"/>
            <w:tcMar>
              <w:top w:w="120" w:type="dxa"/>
              <w:bottom w:w="120" w:type="dxa"/>
              <w:start w:w="150" w:type="dxa"/>
              <w:end w:w="150" w:type="dxa"/>
            </w:tcMar>
            <w:vAlign w:val="top"/>
          </w:tcPr>
          <w:p>
            <w:pPr>
              <w:spacing w:after="60"/>
            </w:pPr>
            <w:r>
              <w:rPr>
                <w:rFonts w:ascii="Georgia" w:hAnsi="Georgia" w:eastAsia="Georgia"/>
                <w:b/>
                <w:i w:val="0"/>
                <w:color w:val="EB0A1E"/>
                <w:sz w:val="46"/>
              </w:rPr>
              <w:t>5 of 7</w:t>
            </w:r>
          </w:p>
          <w:p>
            <w:pPr>
              <w:spacing w:before="0" w:after="8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9"/>
              </w:rPr>
              <w:t>Major automakers here that pulled back toward hybrids &amp; ICE.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i w:val="0"/>
                <w:color w:val="756E65"/>
                <w:sz w:val="16"/>
              </w:rPr>
              <w:t>This report</w:t>
            </w:r>
          </w:p>
        </w:tc>
      </w:tr>
    </w:tbl>
    <w:p>
      <w:pPr>
        <w:spacing w:before="320" w:after="40"/>
      </w:pPr>
      <w:r>
        <w:rPr>
          <w:rFonts w:ascii="Georgia" w:hAnsi="Georgia" w:eastAsia="Georgia"/>
          <w:b/>
          <w:i w:val="0"/>
          <w:color w:val="1A1613"/>
          <w:sz w:val="34"/>
        </w:rPr>
        <w:t>The retreat, brand by brand</w:t>
      </w:r>
    </w:p>
    <w:p>
      <w:pPr>
        <w:spacing w:before="0" w:after="160" w:line="288" w:lineRule="auto"/>
      </w:pPr>
      <w:r>
        <w:rPr>
          <w:rFonts w:ascii="Calibri" w:hAnsi="Calibri" w:eastAsia="Calibri"/>
          <w:b w:val="0"/>
          <w:i w:val="0"/>
          <w:color w:val="756E65"/>
          <w:sz w:val="19"/>
        </w:rPr>
        <w:t>Each moved in the same direction — smaller battery bets, more hybrids, factories that can build gas, hybrid and electric on one line. Two held a different course.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9792" w:type="dxa"/>
      </w:tblPr>
      <w:tblGrid>
        <w:gridCol w:w="2232"/>
        <w:gridCol w:w="1944"/>
        <w:gridCol w:w="5616"/>
      </w:tblGrid>
      <w:tr>
        <w:tc>
          <w:tcPr>
            <w:tcW w:type="dxa" w:w="2232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  <w:shd w:val="clear" w:color="auto" w:fill="FBE7E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A1613"/>
                <w:sz w:val="24"/>
              </w:rPr>
              <w:t>Stellantis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i w:val="0"/>
                <w:color w:val="EB0A1E"/>
                <w:sz w:val="15"/>
              </w:rPr>
              <w:t>PULLED BACK</w:t>
            </w:r>
          </w:p>
        </w:tc>
        <w:tc>
          <w:tcPr>
            <w:tcW w:type="dxa" w:w="1944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20"/>
            </w:pPr>
            <w:r>
              <w:rPr>
                <w:rFonts w:ascii="Georgia" w:hAnsi="Georgia" w:eastAsia="Georgia"/>
                <w:b/>
                <w:i w:val="0"/>
                <w:color w:val="EB0A1E"/>
                <w:sz w:val="28"/>
              </w:rPr>
              <w:t>$26B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i w:val="0"/>
                <w:color w:val="756E65"/>
                <w:sz w:val="15"/>
              </w:rPr>
              <w:t>WRITE-DOWN</w:t>
            </w:r>
          </w:p>
        </w:tc>
        <w:tc>
          <w:tcPr>
            <w:tcW w:type="dxa" w:w="5616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line="274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9"/>
              </w:rPr>
              <w:t>Dropped the EV-only plan and put $13B into flexible U.S. “multi-energy” lines that build ICE, hybrid &amp; EV together.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  <w:shd w:val="clear" w:color="auto" w:fill="FBE7E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A1613"/>
                <w:sz w:val="24"/>
              </w:rPr>
              <w:t>Ford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i w:val="0"/>
                <w:color w:val="EB0A1E"/>
                <w:sz w:val="15"/>
              </w:rPr>
              <w:t>PULLED BACK</w:t>
            </w:r>
          </w:p>
        </w:tc>
        <w:tc>
          <w:tcPr>
            <w:tcW w:type="dxa" w:w="1944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20"/>
            </w:pPr>
            <w:r>
              <w:rPr>
                <w:rFonts w:ascii="Georgia" w:hAnsi="Georgia" w:eastAsia="Georgia"/>
                <w:b/>
                <w:i w:val="0"/>
                <w:color w:val="EB0A1E"/>
                <w:sz w:val="28"/>
              </w:rPr>
              <w:t>$19.5B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i w:val="0"/>
                <w:color w:val="756E65"/>
                <w:sz w:val="15"/>
              </w:rPr>
              <w:t>WRITE-DOWN</w:t>
            </w:r>
          </w:p>
        </w:tc>
        <w:tc>
          <w:tcPr>
            <w:tcW w:type="dxa" w:w="5616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line="274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9"/>
              </w:rPr>
              <w:t>Unwound EV plans; hybrid options across the entire North American lineup by 2030, targeting 50% hybrid/EV output.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  <w:shd w:val="clear" w:color="auto" w:fill="FBE7E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A1613"/>
                <w:sz w:val="24"/>
              </w:rPr>
              <w:t>GM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i w:val="0"/>
                <w:color w:val="EB0A1E"/>
                <w:sz w:val="15"/>
              </w:rPr>
              <w:t>PULLED BACK</w:t>
            </w:r>
          </w:p>
        </w:tc>
        <w:tc>
          <w:tcPr>
            <w:tcW w:type="dxa" w:w="1944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20"/>
            </w:pPr>
            <w:r>
              <w:rPr>
                <w:rFonts w:ascii="Georgia" w:hAnsi="Georgia" w:eastAsia="Georgia"/>
                <w:b/>
                <w:i w:val="0"/>
                <w:color w:val="EB0A1E"/>
                <w:sz w:val="28"/>
              </w:rPr>
              <w:t>$6B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i w:val="0"/>
                <w:color w:val="756E65"/>
                <w:sz w:val="15"/>
              </w:rPr>
              <w:t>WRITE-DOWN · +$1.6B EARLIER</w:t>
            </w:r>
          </w:p>
        </w:tc>
        <w:tc>
          <w:tcPr>
            <w:tcW w:type="dxa" w:w="5616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line="274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9"/>
              </w:rPr>
              <w:t>Flipped Orion Assembly from EV back to ICE; PHEVs return to N. America by 2027; $888M for new V-8s.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  <w:shd w:val="clear" w:color="auto" w:fill="FBE7E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A1613"/>
                <w:sz w:val="24"/>
              </w:rPr>
              <w:t>Honda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i w:val="0"/>
                <w:color w:val="EB0A1E"/>
                <w:sz w:val="15"/>
              </w:rPr>
              <w:t>PULLED BACK</w:t>
            </w:r>
          </w:p>
        </w:tc>
        <w:tc>
          <w:tcPr>
            <w:tcW w:type="dxa" w:w="1944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20"/>
            </w:pPr>
            <w:r>
              <w:rPr>
                <w:rFonts w:ascii="Georgia" w:hAnsi="Georgia" w:eastAsia="Georgia"/>
                <w:b/>
                <w:i w:val="0"/>
                <w:color w:val="EB0A1E"/>
                <w:sz w:val="28"/>
              </w:rPr>
              <w:t>−30%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i w:val="0"/>
                <w:color w:val="756E65"/>
                <w:sz w:val="15"/>
              </w:rPr>
              <w:t>EV &amp; SOFTWARE SPEND</w:t>
            </w:r>
          </w:p>
        </w:tc>
        <w:tc>
          <w:tcPr>
            <w:tcW w:type="dxa" w:w="5616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line="274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9"/>
              </w:rPr>
              <w:t>Cut planned EV and software investment, redirecting toward hybrids and more-efficient gas engines.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  <w:shd w:val="clear" w:color="auto" w:fill="FBE7E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A1613"/>
                <w:sz w:val="24"/>
              </w:rPr>
              <w:t>Volkswagen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i w:val="0"/>
                <w:color w:val="EB0A1E"/>
                <w:sz w:val="15"/>
              </w:rPr>
              <w:t>PULLED BACK</w:t>
            </w:r>
          </w:p>
        </w:tc>
        <w:tc>
          <w:tcPr>
            <w:tcW w:type="dxa" w:w="1944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20"/>
            </w:pPr>
            <w:r>
              <w:rPr>
                <w:rFonts w:ascii="Georgia" w:hAnsi="Georgia" w:eastAsia="Georgia"/>
                <w:b/>
                <w:i w:val="0"/>
                <w:color w:val="EB0A1E"/>
                <w:sz w:val="28"/>
              </w:rPr>
              <w:t>ID.4 ended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i w:val="0"/>
                <w:color w:val="756E65"/>
                <w:sz w:val="15"/>
              </w:rPr>
              <w:t>IN TENNESSEE</w:t>
            </w:r>
          </w:p>
        </w:tc>
        <w:tc>
          <w:tcPr>
            <w:tcW w:type="dxa" w:w="5616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line="274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9"/>
              </w:rPr>
              <w:t>Stopped ID.4 assembly at Chattanooga (Apr 2026); the line now builds the gas/hybrid next-gen Atlas.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  <w:shd w:val="clear" w:color="auto" w:fill="E5EDF6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A1613"/>
                <w:sz w:val="24"/>
              </w:rPr>
              <w:t>BMW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i w:val="0"/>
                <w:color w:val="2563A8"/>
                <w:sz w:val="15"/>
              </w:rPr>
              <w:t>STILL ALL-IN</w:t>
            </w:r>
          </w:p>
        </w:tc>
        <w:tc>
          <w:tcPr>
            <w:tcW w:type="dxa" w:w="1944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20"/>
            </w:pPr>
            <w:r>
              <w:rPr>
                <w:rFonts w:ascii="Georgia" w:hAnsi="Georgia" w:eastAsia="Georgia"/>
                <w:b/>
                <w:i w:val="0"/>
                <w:color w:val="2563A8"/>
                <w:sz w:val="28"/>
              </w:rPr>
              <w:t>Neue Klasse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i w:val="0"/>
                <w:color w:val="756E65"/>
                <w:sz w:val="15"/>
              </w:rPr>
              <w:t>GROUND-UP EV PLATFORM</w:t>
            </w:r>
          </w:p>
        </w:tc>
        <w:tc>
          <w:tcPr>
            <w:tcW w:type="dxa" w:w="5616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line="274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9"/>
              </w:rPr>
              <w:t>Bucking the trend — pressing ahead with the most comprehensively reimagined premium EV platform in production.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  <w:shd w:val="clear" w:color="auto" w:fill="E4F0E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1A1613"/>
                <w:sz w:val="24"/>
              </w:rPr>
              <w:t>Toyota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i w:val="0"/>
                <w:color w:val="1F7A4D"/>
                <w:sz w:val="15"/>
              </w:rPr>
              <w:t>MULTI-PATHWAY</w:t>
            </w:r>
          </w:p>
        </w:tc>
        <w:tc>
          <w:tcPr>
            <w:tcW w:type="dxa" w:w="1944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20"/>
            </w:pPr>
            <w:r>
              <w:rPr>
                <w:rFonts w:ascii="Georgia" w:hAnsi="Georgia" w:eastAsia="Georgia"/>
                <w:b/>
                <w:i w:val="0"/>
                <w:color w:val="1F7A4D"/>
                <w:sz w:val="28"/>
              </w:rPr>
              <w:t>Vindicated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i w:val="0"/>
                <w:color w:val="756E65"/>
                <w:sz w:val="15"/>
              </w:rPr>
              <w:t>NEVER BET ON ONE TECH</w:t>
            </w:r>
          </w:p>
        </w:tc>
        <w:tc>
          <w:tcPr>
            <w:tcW w:type="dxa" w:w="5616"/>
            <w:vAlign w:val="center"/>
            <w:tcBorders>
              <w:bottom w:val="single" w:sz="4" w:space="0" w:color="E7E1D8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line="274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9"/>
              </w:rPr>
              <w:t>ICE + hybrid + plug-in + electric + hydrogen, all at once. Now adding $912M into hybrids across five U.S. plants.</w:t>
            </w:r>
          </w:p>
        </w:tc>
      </w:tr>
    </w:tbl>
    <w:p>
      <w:pPr>
        <w:spacing w:before="320" w:after="40"/>
      </w:pPr>
      <w:r>
        <w:rPr>
          <w:rFonts w:ascii="Georgia" w:hAnsi="Georgia" w:eastAsia="Georgia"/>
          <w:b/>
          <w:i w:val="0"/>
          <w:color w:val="1A1613"/>
          <w:sz w:val="34"/>
        </w:rPr>
        <w:t>What the numbers say</w:t>
      </w:r>
    </w:p>
    <w:p>
      <w:pPr>
        <w:spacing w:before="0" w:after="160" w:line="288" w:lineRule="auto"/>
      </w:pPr>
      <w:r>
        <w:rPr>
          <w:rFonts w:ascii="Calibri" w:hAnsi="Calibri" w:eastAsia="Calibri"/>
          <w:b w:val="0"/>
          <w:i w:val="0"/>
          <w:color w:val="756E65"/>
          <w:sz w:val="19"/>
        </w:rPr>
        <w:t>The retreat was expensive — and the electric future didn’t vanish, it just slid a few years to the right.</w:t>
      </w:r>
    </w:p>
    <w:p>
      <w:pPr>
        <w:spacing w:before="120" w:after="60"/>
      </w:pPr>
      <w:r>
        <w:rPr>
          <w:rFonts w:ascii="Calibri" w:hAnsi="Calibri" w:eastAsia="Calibri"/>
          <w:b/>
          <w:i w:val="0"/>
          <w:color w:val="1A1613"/>
          <w:sz w:val="22"/>
        </w:rPr>
        <w:t xml:space="preserve">The cost of walking it back  </w:t>
      </w:r>
      <w:r>
        <w:rPr>
          <w:rFonts w:ascii="Calibri" w:hAnsi="Calibri" w:eastAsia="Calibri"/>
          <w:b w:val="0"/>
          <w:i w:val="0"/>
          <w:color w:val="756E65"/>
          <w:sz w:val="20"/>
        </w:rPr>
        <w:t>· one-time EV write-downs, US$ billions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213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writedow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1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</w:pPr>
      <w:r>
        <w:rPr>
          <w:rFonts w:ascii="Calibri" w:hAnsi="Calibri" w:eastAsia="Calibri"/>
          <w:b w:val="0"/>
          <w:i w:val="0"/>
          <w:color w:val="756E65"/>
          <w:sz w:val="17"/>
        </w:rPr>
        <w:t>Honda instead cut EV &amp; software spending by 30%; Volkswagen converted an EV line to gas/hybrid.</w:t>
      </w:r>
    </w:p>
    <w:p>
      <w:pPr>
        <w:spacing w:before="120" w:after="60"/>
      </w:pPr>
      <w:r>
        <w:rPr>
          <w:rFonts w:ascii="Calibri" w:hAnsi="Calibri" w:eastAsia="Calibri"/>
          <w:b/>
          <w:i w:val="0"/>
          <w:color w:val="1A1613"/>
          <w:sz w:val="22"/>
        </w:rPr>
        <w:t xml:space="preserve">Where BEV output is actually headed  </w:t>
      </w:r>
      <w:r>
        <w:rPr>
          <w:rFonts w:ascii="Calibri" w:hAnsi="Calibri" w:eastAsia="Calibri"/>
          <w:b w:val="0"/>
          <w:i w:val="0"/>
          <w:color w:val="756E65"/>
          <w:sz w:val="20"/>
        </w:rPr>
        <w:t>· N. America BEV share of production (GlobalData)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676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evsh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6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76" w:lineRule="auto"/>
      </w:pPr>
      <w:r>
        <w:rPr>
          <w:rFonts w:ascii="Calibri" w:hAnsi="Calibri" w:eastAsia="Calibri"/>
          <w:b w:val="0"/>
          <w:i w:val="0"/>
          <w:color w:val="756E65"/>
          <w:sz w:val="17"/>
        </w:rPr>
        <w:t>Dashed = projected. A slow climb now, then a jump — full EV-market recovery isn’t expected until 2028–2029.</w:t>
      </w:r>
    </w:p>
    <w:p>
      <w:pPr>
        <w:spacing w:before="320" w:after="40"/>
      </w:pPr>
      <w:r>
        <w:rPr>
          <w:rFonts w:ascii="Georgia" w:hAnsi="Georgia" w:eastAsia="Georgia"/>
          <w:b/>
          <w:i w:val="0"/>
          <w:color w:val="1A1613"/>
          <w:sz w:val="34"/>
        </w:rPr>
        <w:t>Why hybrids won the year</w:t>
      </w:r>
    </w:p>
    <w:p>
      <w:pPr>
        <w:spacing w:before="0" w:after="160" w:line="288" w:lineRule="auto"/>
      </w:pPr>
      <w:r>
        <w:rPr>
          <w:rFonts w:ascii="Calibri" w:hAnsi="Calibri" w:eastAsia="Calibri"/>
          <w:b w:val="0"/>
          <w:i w:val="0"/>
          <w:color w:val="756E65"/>
          <w:sz w:val="19"/>
        </w:rPr>
        <w:t>The pivot wasn’t nostalgia — it was math. A hybrid keeps most of the climate win with far less cost and risk.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9792" w:type="dxa"/>
      </w:tblPr>
      <w:tblGrid>
        <w:gridCol w:w="4766"/>
        <w:gridCol w:w="259"/>
        <w:gridCol w:w="4766"/>
      </w:tblGrid>
      <w:tr>
        <w:tc>
          <w:tcPr>
            <w:tcW w:type="dxa" w:w="4766"/>
            <w:shd w:val="clear" w:color="auto" w:fill="F3F0EA"/>
            <w:tcMar>
              <w:top w:w="130" w:type="dxa"/>
              <w:bottom w:w="130" w:type="dxa"/>
              <w:start w:w="150" w:type="dxa"/>
              <w:end w:w="150" w:type="dxa"/>
            </w:tcMar>
            <w:vAlign w:val="top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1F7A4D"/>
                <w:sz w:val="22"/>
              </w:rPr>
              <w:t>Smaller batteries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9"/>
              </w:rPr>
              <w:t>A hybrid needs a fraction of the cells a BEV does — less cost, less scarce material.</w:t>
            </w:r>
          </w:p>
        </w:tc>
        <w:tc>
          <w:tcPr>
            <w:tcW w:type="dxa" w:w="259"/>
          </w:tcPr>
          <w:p/>
        </w:tc>
        <w:tc>
          <w:tcPr>
            <w:tcW w:type="dxa" w:w="4766"/>
            <w:shd w:val="clear" w:color="auto" w:fill="F3F0EA"/>
            <w:tcMar>
              <w:top w:w="130" w:type="dxa"/>
              <w:bottom w:w="130" w:type="dxa"/>
              <w:start w:w="150" w:type="dxa"/>
              <w:end w:w="150" w:type="dxa"/>
            </w:tcMar>
            <w:vAlign w:val="top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1F7A4D"/>
                <w:sz w:val="22"/>
              </w:rPr>
              <w:t>Proven profit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9"/>
              </w:rPr>
              <w:t>Built on decades-optimized ICE lines, hybrids carry margins that fund the transition.</w:t>
            </w:r>
          </w:p>
        </w:tc>
      </w:tr>
      <w:tr>
        <w:trPr>
          <w:trHeight w:val="120"/>
        </w:trPr>
        <w:tc>
          <w:tcPr>
            <w:tcW w:type="dxa" w:w="4766"/>
          </w:tcPr>
          <w:p/>
        </w:tc>
        <w:tc>
          <w:tcPr>
            <w:tcW w:type="dxa" w:w="259"/>
          </w:tcPr>
          <w:p/>
        </w:tc>
        <w:tc>
          <w:tcPr>
            <w:tcW w:type="dxa" w:w="4766"/>
          </w:tcPr>
          <w:p/>
        </w:tc>
      </w:tr>
      <w:tr>
        <w:tc>
          <w:tcPr>
            <w:tcW w:type="dxa" w:w="4766"/>
            <w:shd w:val="clear" w:color="auto" w:fill="F3F0EA"/>
            <w:tcMar>
              <w:top w:w="130" w:type="dxa"/>
              <w:bottom w:w="130" w:type="dxa"/>
              <w:start w:w="150" w:type="dxa"/>
              <w:end w:w="150" w:type="dxa"/>
            </w:tcMar>
            <w:vAlign w:val="top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1F7A4D"/>
                <w:sz w:val="22"/>
              </w:rPr>
              <w:t>No new infrastructure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9"/>
              </w:rPr>
              <w:t>They work at every gas station today — no charging network to wait for.</w:t>
            </w:r>
          </w:p>
        </w:tc>
        <w:tc>
          <w:tcPr>
            <w:tcW w:type="dxa" w:w="259"/>
          </w:tcPr>
          <w:p/>
        </w:tc>
        <w:tc>
          <w:tcPr>
            <w:tcW w:type="dxa" w:w="4766"/>
            <w:shd w:val="clear" w:color="auto" w:fill="F3F0EA"/>
            <w:tcMar>
              <w:top w:w="130" w:type="dxa"/>
              <w:bottom w:w="130" w:type="dxa"/>
              <w:start w:w="150" w:type="dxa"/>
              <w:end w:w="150" w:type="dxa"/>
            </w:tcMar>
            <w:vAlign w:val="top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1F7A4D"/>
                <w:sz w:val="22"/>
              </w:rPr>
              <w:t>No behavior change</w:t>
            </w:r>
          </w:p>
          <w:p>
            <w:pPr>
              <w:spacing w:before="0" w:after="0" w:line="278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9"/>
              </w:rPr>
              <w:t>Customers just drive. Range anxiety never enters the room.</w:t>
            </w:r>
          </w:p>
        </w:tc>
      </w:tr>
    </w:tbl>
    <w:p>
      <w:pPr>
        <w:spacing w:before="320" w:after="40"/>
      </w:pPr>
      <w:r>
        <w:rPr>
          <w:rFonts w:ascii="Georgia" w:hAnsi="Georgia" w:eastAsia="Georgia"/>
          <w:b/>
          <w:i w:val="0"/>
          <w:color w:val="1A1613"/>
          <w:sz w:val="34"/>
        </w:rPr>
        <w:t>Toyota’s hedge, in full</w:t>
      </w:r>
    </w:p>
    <w:p>
      <w:pPr>
        <w:spacing w:before="0" w:after="160" w:line="288" w:lineRule="auto"/>
      </w:pPr>
      <w:r>
        <w:rPr>
          <w:rFonts w:ascii="Calibri" w:hAnsi="Calibri" w:eastAsia="Calibri"/>
          <w:b w:val="0"/>
          <w:i w:val="0"/>
          <w:color w:val="756E65"/>
          <w:sz w:val="19"/>
        </w:rPr>
        <w:t>Where rivals bet on one horse, Toyota ran five — matching the powertrain to each market’s infrastructure instead of forcing one everywhere.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16" w:space="0" w:color="FFFFFF"/>
          <w:insideV w:val="single" w:sz="16" w:space="0" w:color="FFFFFF"/>
        </w:tblBorders>
        <w:tblLayout w:type="fixed"/>
        <w:tblW w:w="9792" w:type="dxa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E4F0E9"/>
            <w:tcMar>
              <w:top w:w="120" w:type="dxa"/>
              <w:bottom w:w="12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onsolas" w:hAnsi="Consolas" w:eastAsia="Consolas"/>
                <w:b/>
                <w:i w:val="0"/>
                <w:color w:val="756E65"/>
                <w:sz w:val="14"/>
              </w:rPr>
              <w:t>PATHWAY 1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1A1613"/>
                <w:sz w:val="22"/>
              </w:rPr>
              <w:t>ICE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7"/>
              </w:rPr>
              <w:t>Trucks &amp; markets that still demand gas.</w:t>
            </w:r>
          </w:p>
        </w:tc>
        <w:tc>
          <w:tcPr>
            <w:tcW w:type="dxa" w:w="1958"/>
            <w:shd w:val="clear" w:color="auto" w:fill="E4F0E9"/>
            <w:tcMar>
              <w:top w:w="120" w:type="dxa"/>
              <w:bottom w:w="12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onsolas" w:hAnsi="Consolas" w:eastAsia="Consolas"/>
                <w:b/>
                <w:i w:val="0"/>
                <w:color w:val="756E65"/>
                <w:sz w:val="14"/>
              </w:rPr>
              <w:t>PATHWAY 2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1A1613"/>
                <w:sz w:val="22"/>
              </w:rPr>
              <w:t>Hybrid (HEV)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7"/>
              </w:rPr>
              <w:t>The workhorse — 60%+ of Japan sales.</w:t>
            </w:r>
          </w:p>
        </w:tc>
        <w:tc>
          <w:tcPr>
            <w:tcW w:type="dxa" w:w="1958"/>
            <w:shd w:val="clear" w:color="auto" w:fill="E4F0E9"/>
            <w:tcMar>
              <w:top w:w="120" w:type="dxa"/>
              <w:bottom w:w="12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onsolas" w:hAnsi="Consolas" w:eastAsia="Consolas"/>
                <w:b/>
                <w:i w:val="0"/>
                <w:color w:val="756E65"/>
                <w:sz w:val="14"/>
              </w:rPr>
              <w:t>PATHWAY 3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1A1613"/>
                <w:sz w:val="22"/>
              </w:rPr>
              <w:t>Plug-in (PHEV)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7"/>
              </w:rPr>
              <w:t>The “practical BEV,” 200+ km electric.</w:t>
            </w:r>
          </w:p>
        </w:tc>
        <w:tc>
          <w:tcPr>
            <w:tcW w:type="dxa" w:w="1958"/>
            <w:shd w:val="clear" w:color="auto" w:fill="E4F0E9"/>
            <w:tcMar>
              <w:top w:w="120" w:type="dxa"/>
              <w:bottom w:w="12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onsolas" w:hAnsi="Consolas" w:eastAsia="Consolas"/>
                <w:b/>
                <w:i w:val="0"/>
                <w:color w:val="756E65"/>
                <w:sz w:val="14"/>
              </w:rPr>
              <w:t>PATHWAY 4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1A1613"/>
                <w:sz w:val="22"/>
              </w:rPr>
              <w:t>Electric (BEV)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7"/>
              </w:rPr>
              <w:t>10 new models; a dedicated “BEV Factory.”</w:t>
            </w:r>
          </w:p>
        </w:tc>
        <w:tc>
          <w:tcPr>
            <w:tcW w:type="dxa" w:w="1958"/>
            <w:shd w:val="clear" w:color="auto" w:fill="E4F0E9"/>
            <w:tcMar>
              <w:top w:w="120" w:type="dxa"/>
              <w:bottom w:w="12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Consolas" w:hAnsi="Consolas" w:eastAsia="Consolas"/>
                <w:b/>
                <w:i w:val="0"/>
                <w:color w:val="756E65"/>
                <w:sz w:val="14"/>
              </w:rPr>
              <w:t>PATHWAY 5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1A1613"/>
                <w:sz w:val="22"/>
              </w:rPr>
              <w:t>Hydrogen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7"/>
              </w:rPr>
              <w:t>Fuel-cell Mirai &amp; Crown kept alive.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color w:val="1A1613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9792" w:type="dxa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Borders>
              <w:top w:val="single" w:sz="6" w:space="0" w:color="E7E1D8"/>
            </w:tcBorders>
            <w:tcMar>
              <w:top w:w="12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Georgia" w:hAnsi="Georgia" w:eastAsia="Georgia"/>
                <w:b/>
                <w:i w:val="0"/>
                <w:color w:val="1F7A4D"/>
                <w:sz w:val="34"/>
              </w:rPr>
              <w:t>$70B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7"/>
              </w:rPr>
              <w:t>into electrified vehicles through 2030 — $35B of it for BEVs.</w:t>
            </w:r>
          </w:p>
        </w:tc>
        <w:tc>
          <w:tcPr>
            <w:tcW w:type="dxa" w:w="2448"/>
            <w:tcBorders>
              <w:top w:val="single" w:sz="6" w:space="0" w:color="E7E1D8"/>
            </w:tcBorders>
            <w:tcMar>
              <w:top w:w="12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Georgia" w:hAnsi="Georgia" w:eastAsia="Georgia"/>
                <w:b/>
                <w:i w:val="0"/>
                <w:color w:val="1F7A4D"/>
                <w:sz w:val="34"/>
              </w:rPr>
              <w:t>3.5M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7"/>
              </w:rPr>
              <w:t>EVs targeted per year by 2030 (1.5M interim goal).</w:t>
            </w:r>
          </w:p>
        </w:tc>
        <w:tc>
          <w:tcPr>
            <w:tcW w:type="dxa" w:w="2448"/>
            <w:tcBorders>
              <w:top w:val="single" w:sz="6" w:space="0" w:color="E7E1D8"/>
            </w:tcBorders>
            <w:tcMar>
              <w:top w:w="12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Georgia" w:hAnsi="Georgia" w:eastAsia="Georgia"/>
                <w:b/>
                <w:i w:val="0"/>
                <w:color w:val="1F7A4D"/>
                <w:sz w:val="34"/>
              </w:rPr>
              <w:t>40%+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7"/>
              </w:rPr>
              <w:t>of U.S. Toyota sales already hybrid or mild-hybrid.</w:t>
            </w:r>
          </w:p>
        </w:tc>
        <w:tc>
          <w:tcPr>
            <w:tcW w:type="dxa" w:w="2448"/>
            <w:tcBorders>
              <w:top w:val="single" w:sz="6" w:space="0" w:color="E7E1D8"/>
            </w:tcBorders>
            <w:tcMar>
              <w:top w:w="120" w:type="dxa"/>
              <w:bottom w:w="60" w:type="dxa"/>
              <w:start w:w="12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Georgia" w:hAnsi="Georgia" w:eastAsia="Georgia"/>
                <w:b/>
                <w:i w:val="0"/>
                <w:color w:val="1F7A4D"/>
                <w:sz w:val="34"/>
              </w:rPr>
              <w:t>’27–’28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 w:val="0"/>
                <w:i w:val="0"/>
                <w:color w:val="4A443D"/>
                <w:sz w:val="17"/>
              </w:rPr>
              <w:t>planned rollout of next-gen solid-state batteries.</w:t>
            </w:r>
          </w:p>
        </w:tc>
      </w:tr>
    </w:tbl>
    <w:p>
      <w:pPr>
        <w:spacing w:before="0" w:after="0"/>
      </w:pPr>
      <w:r>
        <w:rPr>
          <w:rFonts w:ascii="Calibri" w:hAnsi="Calibri" w:eastAsia="Calibri"/>
          <w:b w:val="0"/>
          <w:i w:val="0"/>
          <w:color w:val="1A1613"/>
          <w:sz w:val="16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9792" w:type="dxa"/>
      </w:tblPr>
      <w:tblGrid>
        <w:gridCol w:w="7632"/>
        <w:gridCol w:w="2160"/>
      </w:tblGrid>
      <w:tr>
        <w:tc>
          <w:tcPr>
            <w:tcW w:type="dxa" w:w="7632"/>
            <w:tcBorders>
              <w:top w:val="single" w:sz="6" w:space="0" w:color="E7E1D8"/>
            </w:tcBorders>
            <w:tcMar>
              <w:top w:w="120" w:type="dxa"/>
              <w:bottom w:w="60" w:type="dxa"/>
              <w:start w:w="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 w:eastAsia="Calibri"/>
                <w:b w:val="0"/>
                <w:i w:val="0"/>
                <w:color w:val="756E65"/>
                <w:sz w:val="16"/>
              </w:rPr>
              <w:t>Sources: Cox Automotive; GlobalData; MarkLines; company filings, earnings and press releases (Ford, GM, Stellantis, Honda, Volkswagen, BMW, Toyota). Figures as reported for 2025–2026; some are one-time charges or forward projections, not directly comparable line items.</w:t>
            </w:r>
          </w:p>
        </w:tc>
        <w:tc>
          <w:tcPr>
            <w:tcW w:type="dxa" w:w="2160"/>
            <w:tcBorders>
              <w:top w:val="single" w:sz="6" w:space="0" w:color="E7E1D8"/>
            </w:tcBorders>
            <w:tcMar>
              <w:top w:w="120" w:type="dxa"/>
              <w:bottom w:w="60" w:type="dxa"/>
              <w:start w:w="120" w:type="dxa"/>
              <w:end w:w="0" w:type="dxa"/>
            </w:tcMar>
            <w:vAlign w:val="bottom"/>
          </w:tcPr>
          <w:p>
            <w:pPr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756E65"/>
                <w:sz w:val="16"/>
              </w:rPr>
              <w:t>Report by Claude · Jul 2026</w:t>
            </w:r>
          </w:p>
        </w:tc>
      </w:tr>
    </w:tbl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Calibri" w:hAnsi="Calibri"/>
      <w:color w:val="1A16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