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BC421" w14:textId="3DACE780" w:rsidR="00F6442C" w:rsidRDefault="00A677C7" w:rsidP="00A677C7">
      <w:pPr>
        <w:pStyle w:val="Heading1"/>
        <w:rPr>
          <w:b/>
          <w:color w:val="auto"/>
          <w:sz w:val="24"/>
          <w:szCs w:val="24"/>
        </w:rPr>
      </w:pPr>
      <w:r w:rsidRPr="00A677C7">
        <w:rPr>
          <w:b/>
          <w:color w:val="auto"/>
          <w:sz w:val="24"/>
          <w:szCs w:val="24"/>
        </w:rPr>
        <w:t>Summary of research</w:t>
      </w:r>
    </w:p>
    <w:p w14:paraId="4EFC8DB6" w14:textId="45B0B893" w:rsidR="00F7177D" w:rsidRDefault="00F7177D" w:rsidP="00A74957">
      <w:pPr>
        <w:rPr>
          <w:sz w:val="24"/>
          <w:szCs w:val="24"/>
        </w:rPr>
      </w:pPr>
      <w:r>
        <w:rPr>
          <w:sz w:val="24"/>
          <w:szCs w:val="24"/>
        </w:rPr>
        <w:tab/>
        <w:t>Increases in the global temperature, as a result of climate change, have led to impacts to the wildfire regime</w:t>
      </w:r>
      <w:r w:rsidR="00590177">
        <w:rPr>
          <w:sz w:val="24"/>
          <w:szCs w:val="24"/>
        </w:rPr>
        <w:t xml:space="preserve"> </w:t>
      </w:r>
      <w:r w:rsidR="00590177">
        <w:rPr>
          <w:sz w:val="24"/>
          <w:szCs w:val="24"/>
        </w:rPr>
        <w:fldChar w:fldCharType="begin" w:fldLock="1"/>
      </w:r>
      <w:r w:rsidR="00590177">
        <w:rPr>
          <w:sz w:val="24"/>
          <w:szCs w:val="24"/>
        </w:rPr>
        <w:instrText>ADDIN CSL_CITATION {"citationItems":[{"id":"ITEM-1","itemData":{"DOI":"10.1017/CBO9781107415324.024","ISBN":"9781107415324","abstract":"This chapter assesses long-term projections of climate change for the end of the 21st century and beyond, where the forced signal depends on the scenario and is typically larger than the internal variability of the climate system. Changes are expressed with respect to a baseline period of 1986-2005, unless otherwise stated. The Coupled Model Intercomparison Project Phase 5 (CMIP5) presents an unprecedented level of information on which to base projections including new Earth System Models with a more complete representation of forcings, new Representative Concentration Pathways (RCP) scenarios and more output available for analysis. The four RCP scenarios used in CMIP5 lead to a total radiative forcing (RF) at 2100 that spans a wider range than that estimated for the three Special Report on Emission Scenarios (SRES) scenarios (B1, A1B, A2) used in the Fourth Assessment Report (AR4), RCP2.6 being almost 2 W m-2 lower than SRES B1 by 2100. The magnitude of future aerosol forcing decreases more rapidly in RCP scenarios, reaching lower values than in SRES scenarios through the 21st century. Carbon dioxide (CO2) represents about 80 to 90% of the total anthropogenic forcing in all RCP scenarios through the 21st century. The ensemble mean total effective RFs at 2100 for CMIP5 concentration-driven projections are 2.2, 3.8, 4.8 and 7.6 W m-2 for RCP2.6, RCP4.5, RCP6.0 and RCP8.5 respectively, relative to about 1850, and are close to corresponding Integrated Assessment Model (IAM)-based estimates (2.4, 4.0, 5.2 and 8.0 W m-2).","author":[{"dropping-particle":"","family":"Collins","given":"M.","non-dropping-particle":"","parse-names":false,"suffix":""},{"dropping-particle":"","family":"Knutti","given":"R.","non-dropping-particle":"","parse-names":false,"suffix":""},{"dropping-particle":"","family":"Arblaster","given":"J.","non-dropping-particle":"","parse-names":false,"suffix":""},{"dropping-particle":"","family":"Dufresne","given":"J.-L.","non-dropping-particle":"","parse-names":false,"suffix":""},{"dropping-particle":"","family":"Fichefet","given":"T.","non-dropping-particle":"","parse-names":false,"suffix":""},{"dropping-particle":"","family":"Friedlingstein","given":"P.","non-dropping-particle":"","parse-names":false,"suffix":""},{"dropping-particle":"","family":"Gao","given":"X.","non-dropping-particle":"","parse-names":false,"suffix":""},{"dropping-particle":"","family":"Gutowski","given":"W.J.","non-dropping-particle":"","parse-names":false,"suffix":""},{"dropping-particle":"","family":"Johns","given":"T.","non-dropping-particle":"","parse-names":false,"suffix":""},{"dropping-particle":"","family":"Krinner","given":"Gerhard","non-dropping-particle":"","parse-names":false,"suffix":""},{"dropping-particle":"","family":"Shongwe","given":"Mxolisi","non-dropping-particle":"","parse-names":false,"suffix":""},{"dropping-particle":"","family":"Tebaldi","given":"C.","non-dropping-particle":"","parse-names":false,"suffix":""},{"dropping-particle":"","family":"Weaver","given":"A.J.","non-dropping-particle":"","parse-names":false,"suffix":""},{"dropping-particle":"","family":"Wehner","given":"M.","non-dropping-particle":"","parse-names":false,"suffix":""}],"container-title":"Climate Change 2013 the Physical Science Basis: Working Group I Contribution to the Fifth Assessment Report of the Intergovernmental Panel on Climate Change","id":"ITEM-1","issued":{"date-parts":[["2013"]]},"number-of-pages":"1029-1136","publisher-place":"Cambridge, United Kingdom and New York, NY, USA","title":"Long-term climate change: Projections, commitments and irreversibility","type":"report"},"uris":["http://www.mendeley.com/documents/?uuid=73578a03-8238-44e4-b9c3-2f2c9ff04348"]}],"mendeley":{"formattedCitation":"(Collins &lt;i&gt;et al.&lt;/i&gt; 2013)","plainTextFormattedCitation":"(Collins et al. 2013)","previouslyFormattedCitation":"(Collins &lt;i&gt;et al.&lt;/i&gt; 2013)"},"properties":{"noteIndex":0},"schema":"https://github.com/citation-style-language/schema/raw/master/csl-citation.json"}</w:instrText>
      </w:r>
      <w:r w:rsidR="00590177">
        <w:rPr>
          <w:sz w:val="24"/>
          <w:szCs w:val="24"/>
        </w:rPr>
        <w:fldChar w:fldCharType="separate"/>
      </w:r>
      <w:r w:rsidR="00590177" w:rsidRPr="00590177">
        <w:rPr>
          <w:noProof/>
          <w:sz w:val="24"/>
          <w:szCs w:val="24"/>
        </w:rPr>
        <w:t xml:space="preserve">(Collins </w:t>
      </w:r>
      <w:r w:rsidR="00590177" w:rsidRPr="00590177">
        <w:rPr>
          <w:i/>
          <w:noProof/>
          <w:sz w:val="24"/>
          <w:szCs w:val="24"/>
        </w:rPr>
        <w:t>et al.</w:t>
      </w:r>
      <w:r w:rsidR="00590177" w:rsidRPr="00590177">
        <w:rPr>
          <w:noProof/>
          <w:sz w:val="24"/>
          <w:szCs w:val="24"/>
        </w:rPr>
        <w:t xml:space="preserve"> 2013)</w:t>
      </w:r>
      <w:r w:rsidR="00590177">
        <w:rPr>
          <w:sz w:val="24"/>
          <w:szCs w:val="24"/>
        </w:rPr>
        <w:fldChar w:fldCharType="end"/>
      </w:r>
      <w:r>
        <w:rPr>
          <w:sz w:val="24"/>
          <w:szCs w:val="24"/>
        </w:rPr>
        <w:t>. These impacts are greatest in northern environments were the warming is occurring four times faster than the global average</w:t>
      </w:r>
      <w:r w:rsidR="00590177">
        <w:rPr>
          <w:sz w:val="24"/>
          <w:szCs w:val="24"/>
        </w:rPr>
        <w:t xml:space="preserve"> </w:t>
      </w:r>
      <w:r w:rsidR="00590177">
        <w:rPr>
          <w:sz w:val="24"/>
          <w:szCs w:val="24"/>
        </w:rPr>
        <w:fldChar w:fldCharType="begin" w:fldLock="1"/>
      </w:r>
      <w:r w:rsidR="007724E0">
        <w:rPr>
          <w:sz w:val="24"/>
          <w:szCs w:val="24"/>
        </w:rPr>
        <w:instrText>ADDIN CSL_CITATION {"citationItems":[{"id":"ITEM-1","itemData":{"author":[{"dropping-particle":"","family":"GNWT","given":"","non-dropping-particle":"","parse-names":false,"suffix":""}],"id":"ITEM-1","issued":{"date-parts":[["2019"]]},"number-of-pages":"1-108","title":"2030 NWT climate change strategic framework","type":"report"},"uris":["http://www.mendeley.com/documents/?uuid=3172df62-f562-347a-9f12-94fa1b8a18a3"]}],"mendeley":{"formattedCitation":"(GNWT 2019)","plainTextFormattedCitation":"(GNWT 2019)","previouslyFormattedCitation":"(GNWT 2019)"},"properties":{"noteIndex":0},"schema":"https://github.com/citation-style-language/schema/raw/master/csl-citation.json"}</w:instrText>
      </w:r>
      <w:r w:rsidR="00590177">
        <w:rPr>
          <w:sz w:val="24"/>
          <w:szCs w:val="24"/>
        </w:rPr>
        <w:fldChar w:fldCharType="separate"/>
      </w:r>
      <w:r w:rsidR="00590177" w:rsidRPr="00590177">
        <w:rPr>
          <w:noProof/>
          <w:sz w:val="24"/>
          <w:szCs w:val="24"/>
        </w:rPr>
        <w:t>(GNWT 2019)</w:t>
      </w:r>
      <w:r w:rsidR="00590177">
        <w:rPr>
          <w:sz w:val="24"/>
          <w:szCs w:val="24"/>
        </w:rPr>
        <w:fldChar w:fldCharType="end"/>
      </w:r>
      <w:r>
        <w:rPr>
          <w:sz w:val="24"/>
          <w:szCs w:val="24"/>
        </w:rPr>
        <w:t>. While it is well understood that climate change is altering the wildfire regime, understanding the primary drivers of this change is crucial to predicting future fores</w:t>
      </w:r>
      <w:r w:rsidR="00697DC4">
        <w:rPr>
          <w:sz w:val="24"/>
          <w:szCs w:val="24"/>
        </w:rPr>
        <w:t>t compositions. My analysis</w:t>
      </w:r>
      <w:r>
        <w:rPr>
          <w:sz w:val="24"/>
          <w:szCs w:val="24"/>
        </w:rPr>
        <w:t xml:space="preserve"> assess</w:t>
      </w:r>
      <w:r w:rsidR="00697DC4">
        <w:rPr>
          <w:sz w:val="24"/>
          <w:szCs w:val="24"/>
        </w:rPr>
        <w:t>es</w:t>
      </w:r>
      <w:r>
        <w:rPr>
          <w:sz w:val="24"/>
          <w:szCs w:val="24"/>
        </w:rPr>
        <w:t xml:space="preserve"> the impacts of site specific factors that may be drivers of increased fire severity. Fire severity is one </w:t>
      </w:r>
      <w:r w:rsidR="00697DC4">
        <w:rPr>
          <w:sz w:val="24"/>
          <w:szCs w:val="24"/>
        </w:rPr>
        <w:t>of the components of a wildfire regime and can be measured through the depth of soil organic layer consumed during the fire</w:t>
      </w:r>
      <w:r w:rsidR="00F6442C">
        <w:rPr>
          <w:sz w:val="24"/>
          <w:szCs w:val="24"/>
        </w:rPr>
        <w:t xml:space="preserve"> </w:t>
      </w:r>
      <w:r w:rsidR="00761166">
        <w:rPr>
          <w:sz w:val="24"/>
          <w:szCs w:val="24"/>
        </w:rPr>
        <w:fldChar w:fldCharType="begin" w:fldLock="1"/>
      </w:r>
      <w:r w:rsidR="005D5697">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sidR="00761166">
        <w:rPr>
          <w:sz w:val="24"/>
          <w:szCs w:val="24"/>
        </w:rPr>
        <w:fldChar w:fldCharType="separate"/>
      </w:r>
      <w:r w:rsidR="00761166" w:rsidRPr="00761166">
        <w:rPr>
          <w:noProof/>
          <w:sz w:val="24"/>
          <w:szCs w:val="24"/>
        </w:rPr>
        <w:t xml:space="preserve">(Walker </w:t>
      </w:r>
      <w:r w:rsidR="00761166" w:rsidRPr="00761166">
        <w:rPr>
          <w:i/>
          <w:noProof/>
          <w:sz w:val="24"/>
          <w:szCs w:val="24"/>
        </w:rPr>
        <w:t>et al.</w:t>
      </w:r>
      <w:r w:rsidR="00761166" w:rsidRPr="00761166">
        <w:rPr>
          <w:noProof/>
          <w:sz w:val="24"/>
          <w:szCs w:val="24"/>
        </w:rPr>
        <w:t xml:space="preserve"> 2018a)</w:t>
      </w:r>
      <w:r w:rsidR="00761166">
        <w:rPr>
          <w:sz w:val="24"/>
          <w:szCs w:val="24"/>
        </w:rPr>
        <w:fldChar w:fldCharType="end"/>
      </w:r>
      <w:r w:rsidR="00697DC4">
        <w:rPr>
          <w:sz w:val="24"/>
          <w:szCs w:val="24"/>
        </w:rPr>
        <w:t xml:space="preserve">. Using data from sites that burned in 2014 in the Northwest Territories, Canada I hypothesis that </w:t>
      </w:r>
      <w:r w:rsidR="00697DC4" w:rsidRPr="009E3426">
        <w:rPr>
          <w:sz w:val="24"/>
          <w:szCs w:val="24"/>
        </w:rPr>
        <w:t xml:space="preserve">soil moisture, slope, stand age, </w:t>
      </w:r>
      <w:r w:rsidR="00697DC4">
        <w:rPr>
          <w:sz w:val="24"/>
          <w:szCs w:val="24"/>
        </w:rPr>
        <w:t xml:space="preserve">and </w:t>
      </w:r>
      <w:r w:rsidR="00697DC4" w:rsidRPr="009E3426">
        <w:rPr>
          <w:sz w:val="24"/>
          <w:szCs w:val="24"/>
        </w:rPr>
        <w:t>dominant tree species</w:t>
      </w:r>
      <w:r w:rsidR="00E77D5C">
        <w:rPr>
          <w:sz w:val="24"/>
          <w:szCs w:val="24"/>
        </w:rPr>
        <w:t xml:space="preserve"> of the site</w:t>
      </w:r>
      <w:r w:rsidR="00697DC4">
        <w:rPr>
          <w:sz w:val="24"/>
          <w:szCs w:val="24"/>
        </w:rPr>
        <w:t xml:space="preserve"> will impact the depth of organic soil burned during wildfire.</w:t>
      </w:r>
      <w:r w:rsidR="00B856BD">
        <w:rPr>
          <w:sz w:val="24"/>
          <w:szCs w:val="24"/>
        </w:rPr>
        <w:t xml:space="preserve"> Statistically, my null hypothesis is that soil moisture, slope, stand age, and dominant tr</w:t>
      </w:r>
      <w:r w:rsidR="00960483">
        <w:rPr>
          <w:sz w:val="24"/>
          <w:szCs w:val="24"/>
        </w:rPr>
        <w:t>ee species will all have a coefficients</w:t>
      </w:r>
      <w:r w:rsidR="00B856BD">
        <w:rPr>
          <w:sz w:val="24"/>
          <w:szCs w:val="24"/>
        </w:rPr>
        <w:t xml:space="preserve"> equal to zero, and my alternative hypothesis is</w:t>
      </w:r>
      <w:r w:rsidR="003933DB">
        <w:rPr>
          <w:sz w:val="24"/>
          <w:szCs w:val="24"/>
        </w:rPr>
        <w:t xml:space="preserve"> that they will all have </w:t>
      </w:r>
      <w:r w:rsidR="00960483">
        <w:rPr>
          <w:sz w:val="24"/>
          <w:szCs w:val="24"/>
        </w:rPr>
        <w:t>coefficients greater</w:t>
      </w:r>
      <w:r w:rsidR="00B856BD">
        <w:rPr>
          <w:sz w:val="24"/>
          <w:szCs w:val="24"/>
        </w:rPr>
        <w:t xml:space="preserve"> or less than zero. </w:t>
      </w:r>
    </w:p>
    <w:p w14:paraId="01E0F44E" w14:textId="6B4D42EE" w:rsidR="00633CF7" w:rsidRPr="009E3426" w:rsidRDefault="00633CF7" w:rsidP="007724E0">
      <w:pPr>
        <w:ind w:firstLine="720"/>
        <w:rPr>
          <w:sz w:val="24"/>
          <w:szCs w:val="24"/>
        </w:rPr>
      </w:pPr>
      <w:r>
        <w:rPr>
          <w:sz w:val="24"/>
          <w:szCs w:val="24"/>
        </w:rPr>
        <w:t xml:space="preserve">Soil moisture was measured using six moisture classes that range from xeric (dry) to sub-hygric (wet) </w:t>
      </w:r>
      <w:r>
        <w:rPr>
          <w:sz w:val="24"/>
          <w:szCs w:val="24"/>
        </w:rPr>
        <w:fldChar w:fldCharType="begin" w:fldLock="1"/>
      </w:r>
      <w:r>
        <w:rPr>
          <w:sz w:val="24"/>
          <w:szCs w:val="24"/>
        </w:rPr>
        <w:instrText>ADDIN CSL_CITATION {"citationItems":[{"id":"ITEM-1","itemData":{"abstract":"Black spruce (Picea mariana (Mill) B.S.P) is the dominant forest cover type in interior Alaska and is prone to frequent, stand-replacing wildfires. Through im- pacts on tree recruitment, the degree of fire consumption of soil organic layers can act as an important determinant of whether black spruce forests regenerate to a for- est composition similar to the prefire forest, or to a new forest composition domi- nated by deciduous hardwoods. Here we present a simple, rule-based framework for predicting fire-initiated changes in forest cover within Alaskas black spruce forests. Four components are presented: (1) a key to classifying potential site moisture, (2) a summary of conditions that favor black spruce self-replacement, (3) a key to pre- dicting postfire forest recovery in recently burned stands, and (4) an appendix of photos to be used as a visual reference tool. This report should be useful to manag- ers in designing fire management actions and predicting the effects of recent and future fires on postfire forest cover in black spruce forests of interior Alaska.","author":[{"dropping-particle":"","family":"Johnstone","given":"Jill F","non-dropping-particle":"","parse-names":false,"suffix":""},{"dropping-particle":"","family":"Hollingsworth","given":"Teresa N","non-dropping-particle":"","parse-names":false,"suffix":""},{"dropping-particle":"","family":"Chapin III","given":"F Stuart","non-dropping-particle":"","parse-names":false,"suffix":""}],"container-title":"General Technical Report- Pacific Northwest Research Station, USDA Forest Service","id":"ITEM-1","issue":"November","issued":{"date-parts":[["2008"]]},"page":"1-44","title":"A Key for Predicting Postfire Successional Trajectories in Black Spruce Stands of Interior Alaska","type":"article-journal"},"uris":["http://www.mendeley.com/documents/?uuid=e7d31a60-b9b1-349b-97a5-1e90a2b2f021"]}],"mendeley":{"formattedCitation":"(Johnstone &lt;i&gt;et al.&lt;/i&gt; 2008)","plainTextFormattedCitation":"(Johnstone et al. 2008)","previouslyFormattedCitation":"(Johnstone &lt;i&gt;et al.&lt;/i&gt; 2008)"},"properties":{"noteIndex":0},"schema":"https://github.com/citation-style-language/schema/raw/master/csl-citation.json"}</w:instrText>
      </w:r>
      <w:r>
        <w:rPr>
          <w:sz w:val="24"/>
          <w:szCs w:val="24"/>
        </w:rPr>
        <w:fldChar w:fldCharType="separate"/>
      </w:r>
      <w:r w:rsidRPr="00633CF7">
        <w:rPr>
          <w:noProof/>
          <w:sz w:val="24"/>
          <w:szCs w:val="24"/>
        </w:rPr>
        <w:t xml:space="preserve">(Johnstone </w:t>
      </w:r>
      <w:r w:rsidRPr="00633CF7">
        <w:rPr>
          <w:i/>
          <w:noProof/>
          <w:sz w:val="24"/>
          <w:szCs w:val="24"/>
        </w:rPr>
        <w:t>et al.</w:t>
      </w:r>
      <w:r w:rsidRPr="00633CF7">
        <w:rPr>
          <w:noProof/>
          <w:sz w:val="24"/>
          <w:szCs w:val="24"/>
        </w:rPr>
        <w:t xml:space="preserve"> 2008)</w:t>
      </w:r>
      <w:r>
        <w:rPr>
          <w:sz w:val="24"/>
          <w:szCs w:val="24"/>
        </w:rPr>
        <w:fldChar w:fldCharType="end"/>
      </w:r>
      <w:r>
        <w:rPr>
          <w:sz w:val="24"/>
          <w:szCs w:val="24"/>
        </w:rPr>
        <w:t xml:space="preserve">. Stand age was calculated using basal tree disks and cores collected from the sites </w:t>
      </w:r>
      <w:r>
        <w:rPr>
          <w:sz w:val="24"/>
          <w:szCs w:val="24"/>
        </w:rPr>
        <w:fldChar w:fldCharType="begin" w:fldLock="1"/>
      </w:r>
      <w:r w:rsidR="00761166">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2018a)</w:t>
      </w:r>
      <w:r>
        <w:rPr>
          <w:sz w:val="24"/>
          <w:szCs w:val="24"/>
        </w:rPr>
        <w:fldChar w:fldCharType="end"/>
      </w:r>
      <w:r>
        <w:rPr>
          <w:sz w:val="24"/>
          <w:szCs w:val="24"/>
        </w:rPr>
        <w:t xml:space="preserve">. Tree dominance was determined by the species that comprised at least 50% of the canopy, if neither jack pine or black spruce dominated the stand then </w:t>
      </w:r>
      <w:r w:rsidR="002A30F5">
        <w:rPr>
          <w:sz w:val="24"/>
          <w:szCs w:val="24"/>
        </w:rPr>
        <w:t xml:space="preserve">the dominant species was listed as other. Slope was measured at each site using a clinometer </w:t>
      </w:r>
      <w:r w:rsidR="002A30F5">
        <w:rPr>
          <w:sz w:val="24"/>
          <w:szCs w:val="24"/>
        </w:rPr>
        <w:fldChar w:fldCharType="begin" w:fldLock="1"/>
      </w:r>
      <w:r w:rsidR="007724E0">
        <w:rPr>
          <w:sz w:val="24"/>
          <w:szCs w:val="24"/>
        </w:rPr>
        <w:instrText>ADDIN CSL_CITATION {"citationItems":[{"id":"ITEM-1","itemData":{"DOI":"10.1111/gcb.14287","ISSN":"13652486","abstract":"Climate warming and drying is associated with increased wildfire disturbance and the emergence of megafires in North American boreal forests. Changes to the fire regime are expected to strongly increase combustion emissions of carbon (C) which could alter regional C balance and positively feedback to climate warming. In order to accurately estimate C emissions and thereby better predict future climate feedbacks, there is a need to understand the major sources of heterogeneity that impact C emissions at different scales. Here, we examined 211 field plots in boreal forests dominated by black spruce (Picea mariana) or jack pine (Pinus banksiana) of the Northwest Territories (NWT), Canada after an unprecedentedly large area burned in 2014. We assessed both aboveground and soil organic layer (SOL) combustion, with the goal of determining the major drivers in total C emissions, as well as to develop a high spatial resolution model to scale emissions in a relatively understudied region of the boreal forest. On average, 3.35 kg C m−2 was combusted and almost 90% of this was from SOL combustion. Our results indicate that black spruce stands located at landscape positions with intermediate drainage contribute the most to C emissions. Indices associated with fire weather and date of burn did not impact emissions, which we attribute to the extreme fire weather over a short period of time. Using these results, we estimated a total of 94.3 Tg C emitted from 2.85 Mha of burned area across the entire 2014 NWT fire complex, which offsets almost 50% of mean annual net ecosystem production in terrestrial ecosystems of Canada. Our study also highlights the need for fine-scale estimates of burned area that represent small water bodies and regionally specific calibrations of combustion that account for spatial heterogeneity in order to accurately model emissions at the continental scale.","author":[{"dropping-particle":"","family":"Walker","given":"Xanthe J.","non-dropping-particle":"","parse-names":false,"suffix":""},{"dropping-particle":"","family":"Rogers","given":"Brendan M.","non-dropping-particle":"","parse-names":false,"suffix":""},{"dropping-particle":"","family":"Baltzer","given":"Jennifer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J.","non-dropping-particle":"","parse-names":false,"suffix":""},{"dropping-particle":"","family":"Goetz","given":"Scott J.","non-dropping-particle":"","parse-names":false,"suffix":""},{"dropping-particle":"","family":"Johnstone","given":"Jill F.","non-dropping-particle":"","parse-names":false,"suffix":""},{"dropping-particle":"","family":"Schuur","given":"Edward A.G.","non-dropping-particle":"","parse-names":false,"suffix":""},{"dropping-particle":"","family":"Turetsky","given":"Merritt R.","non-dropping-particle":"","parse-names":false,"suffix":""},{"dropping-particle":"","family":"Mack","given":"Michelle C.","non-dropping-particle":"","parse-names":false,"suffix":""}],"container-title":"Global Change Biology","id":"ITEM-1","issue":"9","issued":{"date-parts":[["2018"]]},"page":"4251-4265","title":"Cross-scale controls on carbon emissions from boreal forest megafires","type":"article-journal","volume":"24"},"uris":["http://www.mendeley.com/documents/?uuid=bc84d70a-cd35-4878-9459-b17cb607b1cb"]}],"mendeley":{"formattedCitation":"(Walker &lt;i&gt;et al.&lt;/i&gt; 2018b)","plainTextFormattedCitation":"(Walker et al. 2018b)","previouslyFormattedCitation":"(Walker &lt;i&gt;et al.&lt;/i&gt; 2018b)"},"properties":{"noteIndex":0},"schema":"https://github.com/citation-style-language/schema/raw/master/csl-citation.json"}</w:instrText>
      </w:r>
      <w:r w:rsidR="002A30F5">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2018b)</w:t>
      </w:r>
      <w:r w:rsidR="002A30F5">
        <w:rPr>
          <w:sz w:val="24"/>
          <w:szCs w:val="24"/>
        </w:rPr>
        <w:fldChar w:fldCharType="end"/>
      </w:r>
      <w:r w:rsidR="002A30F5">
        <w:rPr>
          <w:sz w:val="24"/>
          <w:szCs w:val="24"/>
        </w:rPr>
        <w:t xml:space="preserve">. </w:t>
      </w:r>
      <w:r w:rsidR="00381906">
        <w:rPr>
          <w:sz w:val="24"/>
          <w:szCs w:val="24"/>
        </w:rPr>
        <w:t xml:space="preserve">Burn depth was calculated by using the adventitious root measurements from each site and the appropriate offset based on the tree species measured </w:t>
      </w:r>
      <w:r w:rsidR="00381906">
        <w:rPr>
          <w:sz w:val="24"/>
          <w:szCs w:val="24"/>
        </w:rPr>
        <w:fldChar w:fldCharType="begin" w:fldLock="1"/>
      </w:r>
      <w:r w:rsidR="007724E0">
        <w:rPr>
          <w:sz w:val="24"/>
          <w:szCs w:val="24"/>
        </w:rPr>
        <w:instrText>ADDIN CSL_CITATION {"citationItems":[{"id":"ITEM-1","itemData":{"DOI":"10.1071/WF17095","ISSN":"10498001","abstract":"Increased fire frequency, extent and severity are expected to strongly affect the structure and function of boreal forest ecosystems. In this study, we examined 213 plots in boreal forests dominated by black spruce (Picea mariana) or jack pine (Pinus banksiana) of the Northwest Territories, Canada, after an unprecedentedly large area burned in 2014. Large fire size is associated with high fire intensity and severity, which would manifest as areas with deep burning of the soil organic layer (SOL). Our primary objectives were to estimate burn depth in these fires and then to characterise landscapes vulnerable to deep burning throughout this region. Here we quantify burn depth in black spruce stands using the position of adventitious roots within the soil column, and in jack pine stands using measurements of burned and unburned SOL depths. Using these estimates, we then evaluate how burn depth and the proportion of SOL combusted varies among forest type, ecozone, plot-level moisture and stand density. Our results suggest that most of the SOL was combusted in jack pine stands regardless of plot moisture class, but that black spruce forests experience complete combustion of the SOL only in dry and moderately well-drained landscape positions. The models and calibrations we present in this study should allow future research to more accurately estimate burn depth in Canadian boreal forests.","author":[{"dropping-particle":"","family":"Walker","given":"Xanthe J","non-dropping-particle":"","parse-names":false,"suffix":""},{"dropping-particle":"","family":"Baltzer","given":"Jennifer L.","non-dropping-particle":"","parse-names":false,"suffix":""},{"dropping-particle":"","family":"Cumming","given":"Steven G","non-dropping-particle":"","parse-names":false,"suffix":""},{"dropping-particle":"","family":"Day","given":"Nicola J.","non-dropping-particle":"","parse-names":false,"suffix":""},{"dropping-particle":"","family":"Johnstone","given":"Jill F","non-dropping-particle":"","parse-names":false,"suffix":""},{"dropping-particle":"","family":"Rogers","given":"Brendan M","non-dropping-particle":"","parse-names":false,"suffix":""},{"dropping-particle":"","family":"Solvik","given":"Kylen","non-dropping-particle":"","parse-names":false,"suffix":""},{"dropping-particle":"","family":"Turetsky","given":"Merritt R","non-dropping-particle":"","parse-names":false,"suffix":""},{"dropping-particle":"","family":"Mack","given":"Michelle C","non-dropping-particle":"","parse-names":false,"suffix":""}],"container-title":"International Journal of Wildland Fire","id":"ITEM-1","issue":"2","issued":{"date-parts":[["2018"]]},"page":"125-134","title":"Soil organic layer combustion in boreal black spruce and jack pine stands of the Northwest Territories, Canada","type":"article-journal","volume":"27"},"uris":["http://www.mendeley.com/documents/?uuid=d171cbf3-e83e-3373-9ef5-ab65b312205e"]}],"mendeley":{"formattedCitation":"(Walker &lt;i&gt;et al.&lt;/i&gt; 2018a)","plainTextFormattedCitation":"(Walker et al. 2018a)","previouslyFormattedCitation":"(Walker &lt;i&gt;et al.&lt;/i&gt; 2018a)"},"properties":{"noteIndex":0},"schema":"https://github.com/citation-style-language/schema/raw/master/csl-citation.json"}</w:instrText>
      </w:r>
      <w:r w:rsidR="00381906">
        <w:rPr>
          <w:sz w:val="24"/>
          <w:szCs w:val="24"/>
        </w:rPr>
        <w:fldChar w:fldCharType="separate"/>
      </w:r>
      <w:r w:rsidR="007724E0" w:rsidRPr="007724E0">
        <w:rPr>
          <w:noProof/>
          <w:sz w:val="24"/>
          <w:szCs w:val="24"/>
        </w:rPr>
        <w:t xml:space="preserve">(Walker </w:t>
      </w:r>
      <w:r w:rsidR="007724E0" w:rsidRPr="007724E0">
        <w:rPr>
          <w:i/>
          <w:noProof/>
          <w:sz w:val="24"/>
          <w:szCs w:val="24"/>
        </w:rPr>
        <w:t>et al.</w:t>
      </w:r>
      <w:r w:rsidR="007724E0" w:rsidRPr="007724E0">
        <w:rPr>
          <w:noProof/>
          <w:sz w:val="24"/>
          <w:szCs w:val="24"/>
        </w:rPr>
        <w:t xml:space="preserve"> 2018a)</w:t>
      </w:r>
      <w:r w:rsidR="00381906">
        <w:rPr>
          <w:sz w:val="24"/>
          <w:szCs w:val="24"/>
        </w:rPr>
        <w:fldChar w:fldCharType="end"/>
      </w:r>
      <w:r w:rsidR="00381906">
        <w:rPr>
          <w:sz w:val="24"/>
          <w:szCs w:val="24"/>
        </w:rPr>
        <w:t xml:space="preserve">. </w:t>
      </w:r>
    </w:p>
    <w:p w14:paraId="2E7F04D0" w14:textId="6D51DF9E" w:rsidR="00A677C7" w:rsidRDefault="00A677C7" w:rsidP="00A677C7">
      <w:pPr>
        <w:pStyle w:val="Heading1"/>
        <w:rPr>
          <w:b/>
          <w:color w:val="auto"/>
          <w:sz w:val="24"/>
          <w:szCs w:val="24"/>
        </w:rPr>
      </w:pPr>
      <w:r w:rsidRPr="00A677C7">
        <w:rPr>
          <w:b/>
          <w:color w:val="auto"/>
          <w:sz w:val="24"/>
          <w:szCs w:val="24"/>
        </w:rPr>
        <w:t>Summary of statistical approaches</w:t>
      </w:r>
    </w:p>
    <w:p w14:paraId="0AB6FF36" w14:textId="4D1A8F9B" w:rsidR="008404F2" w:rsidRDefault="008404F2" w:rsidP="008404F2">
      <w:pPr>
        <w:rPr>
          <w:sz w:val="24"/>
        </w:rPr>
      </w:pPr>
      <w:r>
        <w:rPr>
          <w:sz w:val="24"/>
        </w:rPr>
        <w:tab/>
      </w:r>
      <w:r w:rsidR="004058BB">
        <w:rPr>
          <w:sz w:val="24"/>
        </w:rPr>
        <w:t xml:space="preserve">Model selection </w:t>
      </w:r>
      <w:r w:rsidR="00FA7A61">
        <w:rPr>
          <w:sz w:val="24"/>
        </w:rPr>
        <w:t>was</w:t>
      </w:r>
      <w:r w:rsidR="004058BB">
        <w:rPr>
          <w:sz w:val="24"/>
        </w:rPr>
        <w:t xml:space="preserve"> used to determine which predictor variables should be included in the model in order to create the best model possible. The</w:t>
      </w:r>
      <w:r w:rsidR="00566A55">
        <w:rPr>
          <w:sz w:val="24"/>
        </w:rPr>
        <w:t xml:space="preserve"> minimum adequate</w:t>
      </w:r>
      <w:r w:rsidR="004058BB">
        <w:rPr>
          <w:sz w:val="24"/>
        </w:rPr>
        <w:t xml:space="preserve"> model can be determine by several different metrics but I</w:t>
      </w:r>
      <w:r w:rsidR="00566A55">
        <w:rPr>
          <w:sz w:val="24"/>
        </w:rPr>
        <w:t xml:space="preserve"> chose</w:t>
      </w:r>
      <w:r w:rsidR="004058BB">
        <w:rPr>
          <w:sz w:val="24"/>
        </w:rPr>
        <w:t xml:space="preserve"> to use AIC scores to rank the models. AIC, also known as the Akaike information criterion, is an estimate </w:t>
      </w:r>
      <w:r w:rsidR="003933DB">
        <w:rPr>
          <w:sz w:val="24"/>
        </w:rPr>
        <w:t xml:space="preserve">of </w:t>
      </w:r>
      <w:r w:rsidR="004058BB">
        <w:rPr>
          <w:sz w:val="24"/>
        </w:rPr>
        <w:t>the relative amount of information that is lost by a given model. The score accounts for trade-offs between the goodness of fit of the model and the</w:t>
      </w:r>
      <w:r w:rsidR="003933DB">
        <w:rPr>
          <w:sz w:val="24"/>
        </w:rPr>
        <w:t xml:space="preserve"> simplicity of the model. Using multiple linear regression, </w:t>
      </w:r>
      <w:r w:rsidR="004058BB">
        <w:rPr>
          <w:sz w:val="24"/>
        </w:rPr>
        <w:t xml:space="preserve">the full model was </w:t>
      </w:r>
      <w:r w:rsidR="00FB0CD7">
        <w:rPr>
          <w:sz w:val="24"/>
        </w:rPr>
        <w:t>made using all four of the predictor variables, soil moisture, slope, stand age, and tree dominance, with burn depth as the response variable.</w:t>
      </w:r>
      <w:r w:rsidR="00566A55">
        <w:rPr>
          <w:sz w:val="24"/>
        </w:rPr>
        <w:t xml:space="preserve"> I used stepwise backwards selection to remove variables based on the AIC scores of the model.</w:t>
      </w:r>
      <w:r w:rsidR="004058BB">
        <w:rPr>
          <w:sz w:val="24"/>
        </w:rPr>
        <w:t xml:space="preserve"> The model with the lowest AIC score was used as the </w:t>
      </w:r>
      <w:r w:rsidR="00566A55">
        <w:rPr>
          <w:sz w:val="24"/>
        </w:rPr>
        <w:t>minimum adequate</w:t>
      </w:r>
      <w:r w:rsidR="004058BB">
        <w:rPr>
          <w:sz w:val="24"/>
        </w:rPr>
        <w:t xml:space="preserve"> model for this analysis. </w:t>
      </w:r>
    </w:p>
    <w:p w14:paraId="4190B36D" w14:textId="30010B92" w:rsidR="00FB0CD7" w:rsidRDefault="00DB1BCF" w:rsidP="006B5466">
      <w:pPr>
        <w:ind w:firstLine="720"/>
        <w:rPr>
          <w:sz w:val="24"/>
        </w:rPr>
      </w:pPr>
      <w:r>
        <w:rPr>
          <w:sz w:val="24"/>
        </w:rPr>
        <w:t>K-fold cross validation was conducted i</w:t>
      </w:r>
      <w:r w:rsidR="00FB0CD7">
        <w:rPr>
          <w:sz w:val="24"/>
        </w:rPr>
        <w:t xml:space="preserve">n order </w:t>
      </w:r>
      <w:r w:rsidR="006B5466">
        <w:rPr>
          <w:sz w:val="24"/>
        </w:rPr>
        <w:t>to determine how accurately the best model can predict burn depth</w:t>
      </w:r>
      <w:r>
        <w:rPr>
          <w:sz w:val="24"/>
        </w:rPr>
        <w:t>.</w:t>
      </w:r>
      <w:r w:rsidR="00566A55">
        <w:rPr>
          <w:sz w:val="24"/>
        </w:rPr>
        <w:t xml:space="preserve"> </w:t>
      </w:r>
      <w:r w:rsidR="006B5466">
        <w:rPr>
          <w:sz w:val="24"/>
        </w:rPr>
        <w:t xml:space="preserve">Cross validation breaks the data into two datasets, the training dataset and the testing dataset. The training dataset is used to create the model, while the model is tested against the testing dataset. By testing the model against data that was not used to create the model, problems like overfitting and selection bias can be avoided. </w:t>
      </w:r>
      <w:r w:rsidR="005101E2">
        <w:rPr>
          <w:sz w:val="24"/>
        </w:rPr>
        <w:t xml:space="preserve">Additionally, </w:t>
      </w:r>
      <w:r w:rsidR="00523C9D">
        <w:rPr>
          <w:sz w:val="24"/>
        </w:rPr>
        <w:lastRenderedPageBreak/>
        <w:t xml:space="preserve">cross validation provides insight into how generalized the model will be towards independent datasets. </w:t>
      </w:r>
      <w:r w:rsidR="006B5466">
        <w:rPr>
          <w:sz w:val="24"/>
        </w:rPr>
        <w:t xml:space="preserve">K-fold </w:t>
      </w:r>
      <w:r w:rsidR="003933DB">
        <w:rPr>
          <w:sz w:val="24"/>
        </w:rPr>
        <w:t xml:space="preserve">is a type of </w:t>
      </w:r>
      <w:r w:rsidR="006B5466">
        <w:rPr>
          <w:sz w:val="24"/>
        </w:rPr>
        <w:t>c</w:t>
      </w:r>
      <w:r w:rsidR="003933DB">
        <w:rPr>
          <w:sz w:val="24"/>
        </w:rPr>
        <w:t>ross validation, where the data is randomly partitioned</w:t>
      </w:r>
      <w:r w:rsidR="008156ED">
        <w:rPr>
          <w:sz w:val="24"/>
        </w:rPr>
        <w:t xml:space="preserve"> into</w:t>
      </w:r>
      <w:r w:rsidR="0006237C">
        <w:rPr>
          <w:sz w:val="24"/>
        </w:rPr>
        <w:t xml:space="preserve"> k equal sized su</w:t>
      </w:r>
      <w:r w:rsidR="003933DB">
        <w:rPr>
          <w:sz w:val="24"/>
        </w:rPr>
        <w:t>bsamples. One of the subsamples is</w:t>
      </w:r>
      <w:r w:rsidR="0006237C">
        <w:rPr>
          <w:sz w:val="24"/>
        </w:rPr>
        <w:t xml:space="preserve"> used as the test dataset, while the other subsamples are grouped as the training dataset. This process is then repeated until each subsample has been used as the testing dataset. The results are then averaged to produce one estimate. </w:t>
      </w:r>
    </w:p>
    <w:p w14:paraId="71EA1F9C" w14:textId="124F902D" w:rsidR="00184ED8" w:rsidRPr="00184ED8" w:rsidRDefault="00184ED8" w:rsidP="006B5466">
      <w:pPr>
        <w:ind w:firstLine="720"/>
        <w:rPr>
          <w:sz w:val="24"/>
        </w:rPr>
      </w:pPr>
      <w:r w:rsidRPr="00184ED8">
        <w:rPr>
          <w:sz w:val="24"/>
        </w:rPr>
        <w:t>Model selection was conducted before the k-fold cross valid</w:t>
      </w:r>
      <w:r>
        <w:rPr>
          <w:sz w:val="24"/>
        </w:rPr>
        <w:t>ation in order to determine</w:t>
      </w:r>
      <w:r w:rsidRPr="00184ED8">
        <w:rPr>
          <w:sz w:val="24"/>
        </w:rPr>
        <w:t xml:space="preserve"> the </w:t>
      </w:r>
      <w:r w:rsidR="008156ED">
        <w:rPr>
          <w:sz w:val="24"/>
        </w:rPr>
        <w:t>minimum adequate</w:t>
      </w:r>
      <w:r>
        <w:rPr>
          <w:sz w:val="24"/>
        </w:rPr>
        <w:t xml:space="preserve"> model. While both approaches take overfitting and model simplicity into consideration, they provide different statistical outputs. Model selection is used to determine the best predictor variables to include to explain as much variation in the response variable as possible. While k-fold cross validation assess</w:t>
      </w:r>
      <w:r w:rsidR="003933DB">
        <w:rPr>
          <w:sz w:val="24"/>
        </w:rPr>
        <w:t xml:space="preserve">es how well the </w:t>
      </w:r>
      <w:r>
        <w:rPr>
          <w:sz w:val="24"/>
        </w:rPr>
        <w:t xml:space="preserve">selected </w:t>
      </w:r>
      <w:r w:rsidR="003933DB">
        <w:rPr>
          <w:sz w:val="24"/>
        </w:rPr>
        <w:t xml:space="preserve">model </w:t>
      </w:r>
      <w:r>
        <w:rPr>
          <w:sz w:val="24"/>
        </w:rPr>
        <w:t xml:space="preserve">can be applied to other independent datasets. The two statistical approaches are therefore complimentary to each other. </w:t>
      </w:r>
    </w:p>
    <w:p w14:paraId="59E85BBB" w14:textId="5F074306" w:rsidR="00A677C7" w:rsidRDefault="00A677C7" w:rsidP="00A677C7">
      <w:pPr>
        <w:pStyle w:val="Heading1"/>
        <w:rPr>
          <w:b/>
          <w:color w:val="auto"/>
          <w:sz w:val="24"/>
          <w:szCs w:val="24"/>
        </w:rPr>
      </w:pPr>
      <w:r w:rsidRPr="00A677C7">
        <w:rPr>
          <w:b/>
          <w:color w:val="auto"/>
          <w:sz w:val="24"/>
          <w:szCs w:val="24"/>
        </w:rPr>
        <w:t>Results</w:t>
      </w:r>
    </w:p>
    <w:p w14:paraId="1B06B8C0" w14:textId="6108971B" w:rsidR="001451D7" w:rsidRDefault="001451D7" w:rsidP="001451D7">
      <w:pPr>
        <w:ind w:firstLine="720"/>
        <w:rPr>
          <w:rFonts w:cstheme="minorHAnsi"/>
          <w:sz w:val="24"/>
          <w:szCs w:val="24"/>
          <w:shd w:val="clear" w:color="auto" w:fill="FFFFFF"/>
        </w:rPr>
      </w:pPr>
      <w:r>
        <w:rPr>
          <w:sz w:val="24"/>
        </w:rPr>
        <w:t xml:space="preserve">Assumptions for a </w:t>
      </w:r>
      <w:r w:rsidR="003933DB">
        <w:rPr>
          <w:sz w:val="24"/>
        </w:rPr>
        <w:t xml:space="preserve">multiple </w:t>
      </w:r>
      <w:r>
        <w:rPr>
          <w:sz w:val="24"/>
        </w:rPr>
        <w:t>linear regression are linearity, homoscedasticity, independence, and normality. The residual versus fitted values were plotted to check the assumptions of linearity and homoscedasticity (Figure</w:t>
      </w:r>
      <w:r w:rsidR="00550ED1">
        <w:rPr>
          <w:sz w:val="24"/>
        </w:rPr>
        <w:t xml:space="preserve"> 1a</w:t>
      </w:r>
      <w:r>
        <w:rPr>
          <w:sz w:val="24"/>
        </w:rPr>
        <w:t xml:space="preserve">). These assumptions are met based on there being no obvious pattern and the residuals are equally spread around </w:t>
      </w:r>
      <w:r w:rsidR="00012B4F">
        <w:rPr>
          <w:sz w:val="24"/>
        </w:rPr>
        <w:t>zero</w:t>
      </w:r>
      <w:r>
        <w:rPr>
          <w:sz w:val="24"/>
        </w:rPr>
        <w:t>. The assumption of homoscedasticity is further met based on there being no obvious patte</w:t>
      </w:r>
      <w:r w:rsidR="00550ED1">
        <w:rPr>
          <w:sz w:val="24"/>
        </w:rPr>
        <w:t>rn in the scale-location plot (F</w:t>
      </w:r>
      <w:r>
        <w:rPr>
          <w:sz w:val="24"/>
        </w:rPr>
        <w:t>igure</w:t>
      </w:r>
      <w:r w:rsidR="00550ED1">
        <w:rPr>
          <w:sz w:val="24"/>
        </w:rPr>
        <w:t xml:space="preserve"> 1c</w:t>
      </w:r>
      <w:r>
        <w:rPr>
          <w:sz w:val="24"/>
        </w:rPr>
        <w:t>). Based on the QQ-plot the assumption of normality is met (Figure</w:t>
      </w:r>
      <w:r w:rsidR="00550ED1">
        <w:rPr>
          <w:sz w:val="24"/>
        </w:rPr>
        <w:t xml:space="preserve"> 1b</w:t>
      </w:r>
      <w:r>
        <w:rPr>
          <w:sz w:val="24"/>
        </w:rPr>
        <w:t xml:space="preserve">), however the results from the </w:t>
      </w:r>
      <w:r w:rsidR="00550ED1">
        <w:rPr>
          <w:sz w:val="24"/>
        </w:rPr>
        <w:t>S</w:t>
      </w:r>
      <w:r w:rsidR="00592100">
        <w:rPr>
          <w:sz w:val="24"/>
        </w:rPr>
        <w:t>hapiro-</w:t>
      </w:r>
      <w:r w:rsidR="00550ED1">
        <w:rPr>
          <w:sz w:val="24"/>
        </w:rPr>
        <w:t>W</w:t>
      </w:r>
      <w:r>
        <w:rPr>
          <w:sz w:val="24"/>
        </w:rPr>
        <w:t>ilks test found that the residuals from the model are significantly different from a normal distribution</w:t>
      </w:r>
      <w:r w:rsidR="007B6854">
        <w:rPr>
          <w:sz w:val="24"/>
        </w:rPr>
        <w:t xml:space="preserve"> (p=3.39</w:t>
      </w:r>
      <w:r>
        <w:rPr>
          <w:sz w:val="24"/>
        </w:rPr>
        <w:t>e-5).</w:t>
      </w:r>
      <w:r w:rsidR="00592100">
        <w:rPr>
          <w:sz w:val="24"/>
        </w:rPr>
        <w:t xml:space="preserve"> The data was transformed using the bestNormalize package, however the Shapiro-Wilks te</w:t>
      </w:r>
      <w:r w:rsidR="007B6854">
        <w:rPr>
          <w:sz w:val="24"/>
        </w:rPr>
        <w:t>st was still significant (p=3.39</w:t>
      </w:r>
      <w:r w:rsidR="00592100">
        <w:rPr>
          <w:sz w:val="24"/>
        </w:rPr>
        <w:t>e-5)</w:t>
      </w:r>
      <w:r w:rsidR="008156ED">
        <w:rPr>
          <w:sz w:val="24"/>
        </w:rPr>
        <w:t xml:space="preserve"> (Peterson 2019).</w:t>
      </w:r>
      <w:r>
        <w:rPr>
          <w:sz w:val="24"/>
        </w:rPr>
        <w:t xml:space="preserve"> The Cook’s distance versus Leverage plot ind</w:t>
      </w:r>
      <w:r w:rsidR="00550ED1">
        <w:rPr>
          <w:sz w:val="24"/>
        </w:rPr>
        <w:t>icates if there are any influent</w:t>
      </w:r>
      <w:r>
        <w:rPr>
          <w:sz w:val="24"/>
        </w:rPr>
        <w:t>ial observations</w:t>
      </w:r>
      <w:r w:rsidR="00550ED1">
        <w:rPr>
          <w:sz w:val="24"/>
        </w:rPr>
        <w:t xml:space="preserve"> (F</w:t>
      </w:r>
      <w:r>
        <w:rPr>
          <w:sz w:val="24"/>
        </w:rPr>
        <w:t>igure</w:t>
      </w:r>
      <w:r w:rsidR="00550ED1">
        <w:rPr>
          <w:sz w:val="24"/>
        </w:rPr>
        <w:t xml:space="preserve"> 1d</w:t>
      </w:r>
      <w:r>
        <w:rPr>
          <w:sz w:val="24"/>
        </w:rPr>
        <w:t>), wh</w:t>
      </w:r>
      <w:r w:rsidR="007B6854">
        <w:rPr>
          <w:sz w:val="24"/>
        </w:rPr>
        <w:t>ile observation 101</w:t>
      </w:r>
      <w:r>
        <w:rPr>
          <w:sz w:val="24"/>
        </w:rPr>
        <w:t xml:space="preserve"> has a larger Cook’s distance than the other observations it does not stand out on the other plots</w:t>
      </w:r>
      <w:r w:rsidR="003933DB">
        <w:rPr>
          <w:sz w:val="24"/>
        </w:rPr>
        <w:t xml:space="preserve"> and is below a value of two</w:t>
      </w:r>
      <w:bookmarkStart w:id="0" w:name="_GoBack"/>
      <w:bookmarkEnd w:id="0"/>
      <w:r>
        <w:rPr>
          <w:sz w:val="24"/>
        </w:rPr>
        <w:t>. Therefore, it has been left in the data set. The assumption of independence is met based on the sampling procedure that was used to collect the data.</w:t>
      </w:r>
      <w:r w:rsidR="00DF70BB">
        <w:rPr>
          <w:sz w:val="24"/>
        </w:rPr>
        <w:t xml:space="preserve"> </w:t>
      </w:r>
      <w:r w:rsidR="00DF70BB" w:rsidRPr="00DF70BB">
        <w:rPr>
          <w:rFonts w:cstheme="minorHAnsi"/>
          <w:sz w:val="24"/>
          <w:szCs w:val="24"/>
        </w:rPr>
        <w:t xml:space="preserve">The </w:t>
      </w:r>
      <w:r w:rsidR="00DF70BB" w:rsidRPr="00DF70BB">
        <w:rPr>
          <w:rFonts w:cstheme="minorHAnsi"/>
          <w:sz w:val="24"/>
          <w:szCs w:val="24"/>
          <w:shd w:val="clear" w:color="auto" w:fill="FFFFFF"/>
        </w:rPr>
        <w:t>variance inflation factor</w:t>
      </w:r>
      <w:r w:rsidR="00DF70BB">
        <w:rPr>
          <w:rFonts w:cstheme="minorHAnsi"/>
          <w:sz w:val="24"/>
          <w:szCs w:val="24"/>
          <w:shd w:val="clear" w:color="auto" w:fill="FFFFFF"/>
        </w:rPr>
        <w:t xml:space="preserve"> detected no </w:t>
      </w:r>
      <w:r w:rsidR="008F024C">
        <w:rPr>
          <w:rFonts w:cstheme="minorHAnsi"/>
          <w:sz w:val="24"/>
          <w:szCs w:val="24"/>
          <w:shd w:val="clear" w:color="auto" w:fill="FFFFFF"/>
        </w:rPr>
        <w:t>correlation</w:t>
      </w:r>
      <w:r w:rsidR="00DF70BB">
        <w:rPr>
          <w:rFonts w:cstheme="minorHAnsi"/>
          <w:sz w:val="24"/>
          <w:szCs w:val="24"/>
          <w:shd w:val="clear" w:color="auto" w:fill="FFFFFF"/>
        </w:rPr>
        <w:t xml:space="preserve"> between predictor variables, except for tree dominance, where sites dominated by black spr</w:t>
      </w:r>
      <w:r w:rsidR="008F024C">
        <w:rPr>
          <w:rFonts w:cstheme="minorHAnsi"/>
          <w:sz w:val="24"/>
          <w:szCs w:val="24"/>
          <w:shd w:val="clear" w:color="auto" w:fill="FFFFFF"/>
        </w:rPr>
        <w:t xml:space="preserve">uce or jack pine where moderately correlated. </w:t>
      </w:r>
    </w:p>
    <w:p w14:paraId="3AB8A15F" w14:textId="64C75B3A" w:rsidR="00FB0CD7" w:rsidRPr="00FB0CD7" w:rsidRDefault="00FB0CD7" w:rsidP="001451D7">
      <w:pPr>
        <w:ind w:firstLine="720"/>
        <w:rPr>
          <w:sz w:val="24"/>
        </w:rPr>
      </w:pPr>
      <w:r>
        <w:rPr>
          <w:sz w:val="24"/>
        </w:rPr>
        <w:t xml:space="preserve">The </w:t>
      </w:r>
      <w:r w:rsidR="008156ED">
        <w:rPr>
          <w:sz w:val="24"/>
        </w:rPr>
        <w:t>results from the model selection found that the minimum adequate model included all four of the predictor variables</w:t>
      </w:r>
      <w:r w:rsidR="00EC40A1">
        <w:rPr>
          <w:sz w:val="24"/>
        </w:rPr>
        <w:t xml:space="preserve"> (Figure 2)</w:t>
      </w:r>
      <w:r w:rsidR="008156ED">
        <w:rPr>
          <w:sz w:val="24"/>
        </w:rPr>
        <w:t xml:space="preserve">. </w:t>
      </w:r>
      <w:r w:rsidR="002A4B0D">
        <w:rPr>
          <w:sz w:val="24"/>
        </w:rPr>
        <w:t xml:space="preserve">Xeric plots had significantly different burn depth than the other moisture categories (p=4.8e-5). Burn depth was found to increase with increases in slope and stand age (p=0.17, p=2.7e-12). Burn depth at stands dominated by jack pine was significantly lower than black spruce or other tree species (p=0.00029). </w:t>
      </w:r>
      <w:r w:rsidR="00D57C4A">
        <w:rPr>
          <w:sz w:val="24"/>
        </w:rPr>
        <w:t xml:space="preserve">The </w:t>
      </w:r>
      <w:r w:rsidR="00EC40A1">
        <w:rPr>
          <w:sz w:val="24"/>
        </w:rPr>
        <w:t>10-fold</w:t>
      </w:r>
      <w:r w:rsidR="00616B33">
        <w:rPr>
          <w:sz w:val="24"/>
        </w:rPr>
        <w:t xml:space="preserve"> cross validation had a residual</w:t>
      </w:r>
      <w:r w:rsidR="00EC40A1">
        <w:rPr>
          <w:sz w:val="24"/>
        </w:rPr>
        <w:t xml:space="preserve"> mean square error of 43.6, an R</w:t>
      </w:r>
      <w:r w:rsidR="00EC40A1">
        <w:rPr>
          <w:sz w:val="24"/>
          <w:vertAlign w:val="superscript"/>
        </w:rPr>
        <w:t>2</w:t>
      </w:r>
      <w:r w:rsidR="00EC40A1">
        <w:rPr>
          <w:sz w:val="24"/>
        </w:rPr>
        <w:t xml:space="preserve"> of 0.537, and a mean absolute error of 35.7. </w:t>
      </w:r>
    </w:p>
    <w:p w14:paraId="4213E94E" w14:textId="1B1A79F6" w:rsidR="00A677C7" w:rsidRDefault="00A677C7" w:rsidP="00A677C7">
      <w:pPr>
        <w:pStyle w:val="Heading1"/>
        <w:rPr>
          <w:b/>
          <w:color w:val="auto"/>
          <w:sz w:val="24"/>
          <w:szCs w:val="24"/>
        </w:rPr>
      </w:pPr>
      <w:r w:rsidRPr="00A677C7">
        <w:rPr>
          <w:b/>
          <w:color w:val="auto"/>
          <w:sz w:val="24"/>
          <w:szCs w:val="24"/>
        </w:rPr>
        <w:lastRenderedPageBreak/>
        <w:t>Discussion of results</w:t>
      </w:r>
    </w:p>
    <w:p w14:paraId="381059A4" w14:textId="4E1276AC" w:rsidR="00801EF5" w:rsidRDefault="005D5697" w:rsidP="005D5697">
      <w:pPr>
        <w:rPr>
          <w:sz w:val="24"/>
        </w:rPr>
      </w:pPr>
      <w:r>
        <w:rPr>
          <w:sz w:val="24"/>
        </w:rPr>
        <w:tab/>
      </w:r>
      <w:r w:rsidR="00801EF5">
        <w:rPr>
          <w:sz w:val="24"/>
        </w:rPr>
        <w:t>The model selection found the minimum adequate model to include all of the predictor variables. That model was then validated using 10-fold cross validati</w:t>
      </w:r>
      <w:r w:rsidR="00F94B37">
        <w:rPr>
          <w:sz w:val="24"/>
        </w:rPr>
        <w:t xml:space="preserve">on, in order to determine how applicable the model will be to other independent datasets. These two statistical approaches are complimentary to one another. The benefit of doing model selection before cross validation is that it ensures that the minimum adequate model is being validated. </w:t>
      </w:r>
      <w:r w:rsidR="005E7A66">
        <w:rPr>
          <w:sz w:val="24"/>
        </w:rPr>
        <w:t>The main difference between these two statistical</w:t>
      </w:r>
      <w:r w:rsidR="00D57C4A">
        <w:rPr>
          <w:sz w:val="24"/>
        </w:rPr>
        <w:t xml:space="preserve"> approaches is that</w:t>
      </w:r>
      <w:r w:rsidR="005E7A66">
        <w:rPr>
          <w:sz w:val="24"/>
        </w:rPr>
        <w:t xml:space="preserve"> model selection uses the whole dataset, </w:t>
      </w:r>
      <w:r w:rsidR="00D57C4A">
        <w:rPr>
          <w:sz w:val="24"/>
        </w:rPr>
        <w:t>while</w:t>
      </w:r>
      <w:r w:rsidR="005E7A66">
        <w:rPr>
          <w:sz w:val="24"/>
        </w:rPr>
        <w:t xml:space="preserve"> cross validation uses subsets o</w:t>
      </w:r>
      <w:r w:rsidR="00D57C4A">
        <w:rPr>
          <w:sz w:val="24"/>
        </w:rPr>
        <w:t>f the dataset. Additionally,</w:t>
      </w:r>
      <w:r w:rsidR="005E7A66">
        <w:rPr>
          <w:sz w:val="24"/>
        </w:rPr>
        <w:t xml:space="preserve"> model selection uses the AIC scores to compare</w:t>
      </w:r>
      <w:r w:rsidR="00D57C4A">
        <w:rPr>
          <w:sz w:val="24"/>
        </w:rPr>
        <w:t xml:space="preserve"> the different models, while</w:t>
      </w:r>
      <w:r w:rsidR="005E7A66">
        <w:rPr>
          <w:sz w:val="24"/>
        </w:rPr>
        <w:t xml:space="preserve"> cross validation uses </w:t>
      </w:r>
      <w:r w:rsidR="00384D0B">
        <w:rPr>
          <w:sz w:val="24"/>
        </w:rPr>
        <w:t xml:space="preserve">the mean skill scores from all of the models. </w:t>
      </w:r>
    </w:p>
    <w:p w14:paraId="10EA1D0C" w14:textId="28101548" w:rsidR="00A677C7" w:rsidRDefault="00A677C7" w:rsidP="00A677C7">
      <w:pPr>
        <w:pStyle w:val="Heading1"/>
        <w:rPr>
          <w:b/>
          <w:color w:val="auto"/>
          <w:sz w:val="24"/>
          <w:szCs w:val="24"/>
        </w:rPr>
      </w:pPr>
      <w:r w:rsidRPr="00A677C7">
        <w:rPr>
          <w:b/>
          <w:color w:val="auto"/>
          <w:sz w:val="24"/>
          <w:szCs w:val="24"/>
        </w:rPr>
        <w:t>Conclusion</w:t>
      </w:r>
      <w:r w:rsidR="001451D7">
        <w:rPr>
          <w:b/>
          <w:color w:val="auto"/>
          <w:sz w:val="24"/>
          <w:szCs w:val="24"/>
        </w:rPr>
        <w:t xml:space="preserve"> </w:t>
      </w:r>
    </w:p>
    <w:p w14:paraId="73A504C1" w14:textId="3FF10FCB" w:rsidR="005D5697" w:rsidRPr="005D5697" w:rsidRDefault="005D5697" w:rsidP="005D5697">
      <w:r>
        <w:rPr>
          <w:sz w:val="24"/>
        </w:rPr>
        <w:tab/>
      </w:r>
      <w:r w:rsidR="00BD5F3A">
        <w:rPr>
          <w:sz w:val="24"/>
        </w:rPr>
        <w:t xml:space="preserve">In conclusion, these two statistical approaches </w:t>
      </w:r>
      <w:r w:rsidR="003B5678">
        <w:rPr>
          <w:sz w:val="24"/>
        </w:rPr>
        <w:t xml:space="preserve">can be used in conjunction with one another to create a minimum adequate model and ensure that it does not over-fit the data. It is important when making predictive models that they are applicable to other independent datasets. The results from this analysis show that soil moisture, slope, stand age, and dominant tree species can all be used as variables to predict depth of organic soil burned during wildfire. </w:t>
      </w:r>
    </w:p>
    <w:p w14:paraId="224DA6DC" w14:textId="51E69397" w:rsidR="00FB0CD7" w:rsidRPr="00D552B7" w:rsidRDefault="00FB0CD7" w:rsidP="00FB0CD7">
      <w:pPr>
        <w:pStyle w:val="Heading1"/>
        <w:rPr>
          <w:rFonts w:cstheme="majorHAnsi"/>
          <w:b/>
          <w:color w:val="auto"/>
          <w:sz w:val="24"/>
          <w:szCs w:val="24"/>
        </w:rPr>
      </w:pPr>
      <w:r w:rsidRPr="00D552B7">
        <w:rPr>
          <w:rFonts w:cstheme="majorHAnsi"/>
          <w:b/>
          <w:color w:val="auto"/>
          <w:sz w:val="24"/>
          <w:szCs w:val="24"/>
        </w:rPr>
        <w:t>References</w:t>
      </w:r>
    </w:p>
    <w:p w14:paraId="2958835A" w14:textId="151073A0" w:rsidR="005D5697" w:rsidRPr="005D5697" w:rsidRDefault="004226A6" w:rsidP="005D5697">
      <w:pPr>
        <w:widowControl w:val="0"/>
        <w:autoSpaceDE w:val="0"/>
        <w:autoSpaceDN w:val="0"/>
        <w:adjustRightInd w:val="0"/>
        <w:spacing w:line="240" w:lineRule="auto"/>
        <w:ind w:left="480" w:hanging="480"/>
        <w:rPr>
          <w:rFonts w:ascii="Calibri" w:hAnsi="Calibri" w:cs="Calibri"/>
          <w:noProof/>
          <w:sz w:val="24"/>
          <w:szCs w:val="24"/>
        </w:rPr>
      </w:pPr>
      <w:r>
        <w:rPr>
          <w:rFonts w:cstheme="minorHAnsi"/>
          <w:sz w:val="24"/>
          <w:szCs w:val="24"/>
        </w:rPr>
        <w:fldChar w:fldCharType="begin" w:fldLock="1"/>
      </w:r>
      <w:r w:rsidRPr="003D6257">
        <w:rPr>
          <w:rFonts w:cstheme="minorHAnsi"/>
          <w:sz w:val="24"/>
          <w:szCs w:val="24"/>
          <w:lang w:val="fr-CA"/>
        </w:rPr>
        <w:instrText xml:space="preserve">ADDIN Mendeley Bibliography CSL_BIBLIOGRAPHY </w:instrText>
      </w:r>
      <w:r>
        <w:rPr>
          <w:rFonts w:cstheme="minorHAnsi"/>
          <w:sz w:val="24"/>
          <w:szCs w:val="24"/>
        </w:rPr>
        <w:fldChar w:fldCharType="separate"/>
      </w:r>
      <w:r w:rsidR="005D5697" w:rsidRPr="005D5697">
        <w:rPr>
          <w:rFonts w:ascii="Calibri" w:hAnsi="Calibri" w:cs="Calibri"/>
          <w:noProof/>
          <w:sz w:val="24"/>
          <w:szCs w:val="24"/>
        </w:rPr>
        <w:t xml:space="preserve">Collins, M., Knutti, R., Arblaster, J., Dufresne, J.-L., Fichefet, T., Friedlingstein, P., </w:t>
      </w:r>
      <w:r w:rsidR="005D5697" w:rsidRPr="005D5697">
        <w:rPr>
          <w:rFonts w:ascii="Calibri" w:hAnsi="Calibri" w:cs="Calibri"/>
          <w:i/>
          <w:iCs/>
          <w:noProof/>
          <w:sz w:val="24"/>
          <w:szCs w:val="24"/>
        </w:rPr>
        <w:t>et al.</w:t>
      </w:r>
      <w:r w:rsidR="005D5697" w:rsidRPr="005D5697">
        <w:rPr>
          <w:rFonts w:ascii="Calibri" w:hAnsi="Calibri" w:cs="Calibri"/>
          <w:noProof/>
          <w:sz w:val="24"/>
          <w:szCs w:val="24"/>
        </w:rPr>
        <w:t xml:space="preserve"> (2013). </w:t>
      </w:r>
      <w:r w:rsidR="005D5697" w:rsidRPr="005D5697">
        <w:rPr>
          <w:rFonts w:ascii="Calibri" w:hAnsi="Calibri" w:cs="Calibri"/>
          <w:i/>
          <w:iCs/>
          <w:noProof/>
          <w:sz w:val="24"/>
          <w:szCs w:val="24"/>
        </w:rPr>
        <w:t>Long-term climate change: Projections, commitments and irreversibility</w:t>
      </w:r>
      <w:r w:rsidR="005D5697" w:rsidRPr="005D5697">
        <w:rPr>
          <w:rFonts w:ascii="Calibri" w:hAnsi="Calibri" w:cs="Calibri"/>
          <w:noProof/>
          <w:sz w:val="24"/>
          <w:szCs w:val="24"/>
        </w:rPr>
        <w:t xml:space="preserve">. </w:t>
      </w:r>
      <w:r w:rsidR="005D5697" w:rsidRPr="005D5697">
        <w:rPr>
          <w:rFonts w:ascii="Calibri" w:hAnsi="Calibri" w:cs="Calibri"/>
          <w:i/>
          <w:iCs/>
          <w:noProof/>
          <w:sz w:val="24"/>
          <w:szCs w:val="24"/>
        </w:rPr>
        <w:t>Clim. Chang. 2013 Phys. Sci. Basis Work. Gr. I Contrib. to Fifth Assess. Rep. Intergov. Panel Clim. Chang.</w:t>
      </w:r>
      <w:r w:rsidR="005D5697" w:rsidRPr="005D5697">
        <w:rPr>
          <w:rFonts w:ascii="Calibri" w:hAnsi="Calibri" w:cs="Calibri"/>
          <w:noProof/>
          <w:sz w:val="24"/>
          <w:szCs w:val="24"/>
        </w:rPr>
        <w:t xml:space="preserve"> Cambridge, United Kingdom and New York, NY, USA.</w:t>
      </w:r>
    </w:p>
    <w:p w14:paraId="43B3DD20" w14:textId="77777777" w:rsidR="005D5697" w:rsidRPr="005D5697" w:rsidRDefault="005D5697" w:rsidP="005D5697">
      <w:pPr>
        <w:widowControl w:val="0"/>
        <w:autoSpaceDE w:val="0"/>
        <w:autoSpaceDN w:val="0"/>
        <w:adjustRightInd w:val="0"/>
        <w:spacing w:line="240" w:lineRule="auto"/>
        <w:ind w:left="480" w:hanging="480"/>
        <w:rPr>
          <w:rFonts w:ascii="Calibri" w:hAnsi="Calibri" w:cs="Calibri"/>
          <w:noProof/>
          <w:sz w:val="24"/>
          <w:szCs w:val="24"/>
        </w:rPr>
      </w:pPr>
      <w:r w:rsidRPr="005D5697">
        <w:rPr>
          <w:rFonts w:ascii="Calibri" w:hAnsi="Calibri" w:cs="Calibri"/>
          <w:noProof/>
          <w:sz w:val="24"/>
          <w:szCs w:val="24"/>
        </w:rPr>
        <w:t xml:space="preserve">GNWT. (2019). </w:t>
      </w:r>
      <w:r w:rsidRPr="005D5697">
        <w:rPr>
          <w:rFonts w:ascii="Calibri" w:hAnsi="Calibri" w:cs="Calibri"/>
          <w:i/>
          <w:iCs/>
          <w:noProof/>
          <w:sz w:val="24"/>
          <w:szCs w:val="24"/>
        </w:rPr>
        <w:t>2030 NWT climate change strategic framework</w:t>
      </w:r>
      <w:r w:rsidRPr="005D5697">
        <w:rPr>
          <w:rFonts w:ascii="Calibri" w:hAnsi="Calibri" w:cs="Calibri"/>
          <w:noProof/>
          <w:sz w:val="24"/>
          <w:szCs w:val="24"/>
        </w:rPr>
        <w:t>.</w:t>
      </w:r>
    </w:p>
    <w:p w14:paraId="6636EEC3" w14:textId="77777777" w:rsidR="005D5697" w:rsidRDefault="005D5697" w:rsidP="005D5697">
      <w:pPr>
        <w:widowControl w:val="0"/>
        <w:autoSpaceDE w:val="0"/>
        <w:autoSpaceDN w:val="0"/>
        <w:adjustRightInd w:val="0"/>
        <w:spacing w:line="240" w:lineRule="auto"/>
        <w:ind w:left="480" w:hanging="480"/>
        <w:rPr>
          <w:rFonts w:ascii="Calibri" w:hAnsi="Calibri" w:cs="Calibri"/>
          <w:noProof/>
          <w:sz w:val="24"/>
          <w:szCs w:val="24"/>
        </w:rPr>
      </w:pPr>
      <w:r w:rsidRPr="005D5697">
        <w:rPr>
          <w:rFonts w:ascii="Calibri" w:hAnsi="Calibri" w:cs="Calibri"/>
          <w:noProof/>
          <w:sz w:val="24"/>
          <w:szCs w:val="24"/>
        </w:rPr>
        <w:t xml:space="preserve">Johnstone, J.F., Hollingsworth, T.N. &amp; Chapin III, F.S. (2008). A Key for Predicting Postfire Successional Trajectories in Black Spruce Stands of Interior Alaska. </w:t>
      </w:r>
      <w:r w:rsidRPr="005D5697">
        <w:rPr>
          <w:rFonts w:ascii="Calibri" w:hAnsi="Calibri" w:cs="Calibri"/>
          <w:i/>
          <w:iCs/>
          <w:noProof/>
          <w:sz w:val="24"/>
          <w:szCs w:val="24"/>
        </w:rPr>
        <w:t>Gen. Tech. Report- Pacific Northwest Res. Station. USDA For. Serv.</w:t>
      </w:r>
      <w:r w:rsidRPr="005D5697">
        <w:rPr>
          <w:rFonts w:ascii="Calibri" w:hAnsi="Calibri" w:cs="Calibri"/>
          <w:noProof/>
          <w:sz w:val="24"/>
          <w:szCs w:val="24"/>
        </w:rPr>
        <w:t>, 1–44.</w:t>
      </w:r>
    </w:p>
    <w:p w14:paraId="50239001" w14:textId="1DC3F583" w:rsidR="00D552B7" w:rsidRPr="00D552B7" w:rsidRDefault="00D552B7" w:rsidP="00D552B7">
      <w:pPr>
        <w:ind w:left="720" w:hanging="720"/>
        <w:rPr>
          <w:rFonts w:cstheme="minorHAnsi"/>
          <w:sz w:val="24"/>
          <w:szCs w:val="24"/>
        </w:rPr>
      </w:pPr>
      <w:r w:rsidRPr="008156ED">
        <w:rPr>
          <w:rFonts w:cstheme="minorHAnsi"/>
          <w:sz w:val="24"/>
          <w:szCs w:val="24"/>
        </w:rPr>
        <w:t>Ryan A. Peterson (2019). Ordered quantile normalization: a semiparametric transformation built for the cross-validation era. Journal of Applied Statistics, 1-16.</w:t>
      </w:r>
    </w:p>
    <w:p w14:paraId="64729C62" w14:textId="77777777" w:rsidR="005D5697" w:rsidRPr="005D5697" w:rsidRDefault="005D5697" w:rsidP="005D5697">
      <w:pPr>
        <w:widowControl w:val="0"/>
        <w:autoSpaceDE w:val="0"/>
        <w:autoSpaceDN w:val="0"/>
        <w:adjustRightInd w:val="0"/>
        <w:spacing w:line="240" w:lineRule="auto"/>
        <w:ind w:left="480" w:hanging="480"/>
        <w:rPr>
          <w:rFonts w:ascii="Calibri" w:hAnsi="Calibri" w:cs="Calibri"/>
          <w:noProof/>
          <w:sz w:val="24"/>
          <w:szCs w:val="24"/>
        </w:rPr>
      </w:pPr>
      <w:r w:rsidRPr="005D5697">
        <w:rPr>
          <w:rFonts w:ascii="Calibri" w:hAnsi="Calibri" w:cs="Calibri"/>
          <w:noProof/>
          <w:sz w:val="24"/>
          <w:szCs w:val="24"/>
        </w:rPr>
        <w:t xml:space="preserve">Walker, X.J., Baltzer, J.L., Cumming, S.G., Day, N.J., Johnstone, J.F., Rogers, B.M., </w:t>
      </w:r>
      <w:r w:rsidRPr="005D5697">
        <w:rPr>
          <w:rFonts w:ascii="Calibri" w:hAnsi="Calibri" w:cs="Calibri"/>
          <w:i/>
          <w:iCs/>
          <w:noProof/>
          <w:sz w:val="24"/>
          <w:szCs w:val="24"/>
        </w:rPr>
        <w:t>et al.</w:t>
      </w:r>
      <w:r w:rsidRPr="005D5697">
        <w:rPr>
          <w:rFonts w:ascii="Calibri" w:hAnsi="Calibri" w:cs="Calibri"/>
          <w:noProof/>
          <w:sz w:val="24"/>
          <w:szCs w:val="24"/>
        </w:rPr>
        <w:t xml:space="preserve"> (2018a). Soil organic layer combustion in boreal black spruce and jack pine stands of the Northwest Territories, Canada. </w:t>
      </w:r>
      <w:r w:rsidRPr="005D5697">
        <w:rPr>
          <w:rFonts w:ascii="Calibri" w:hAnsi="Calibri" w:cs="Calibri"/>
          <w:i/>
          <w:iCs/>
          <w:noProof/>
          <w:sz w:val="24"/>
          <w:szCs w:val="24"/>
        </w:rPr>
        <w:t>Int. J. Wildl. Fire</w:t>
      </w:r>
      <w:r w:rsidRPr="005D5697">
        <w:rPr>
          <w:rFonts w:ascii="Calibri" w:hAnsi="Calibri" w:cs="Calibri"/>
          <w:noProof/>
          <w:sz w:val="24"/>
          <w:szCs w:val="24"/>
        </w:rPr>
        <w:t>, 27, 125–134.</w:t>
      </w:r>
    </w:p>
    <w:p w14:paraId="1BE64ADF" w14:textId="77777777" w:rsidR="005D5697" w:rsidRPr="005D5697" w:rsidRDefault="005D5697" w:rsidP="005D5697">
      <w:pPr>
        <w:widowControl w:val="0"/>
        <w:autoSpaceDE w:val="0"/>
        <w:autoSpaceDN w:val="0"/>
        <w:adjustRightInd w:val="0"/>
        <w:spacing w:line="240" w:lineRule="auto"/>
        <w:ind w:left="480" w:hanging="480"/>
        <w:rPr>
          <w:rFonts w:ascii="Calibri" w:hAnsi="Calibri" w:cs="Calibri"/>
          <w:noProof/>
          <w:sz w:val="24"/>
        </w:rPr>
      </w:pPr>
      <w:r w:rsidRPr="005D5697">
        <w:rPr>
          <w:rFonts w:ascii="Calibri" w:hAnsi="Calibri" w:cs="Calibri"/>
          <w:noProof/>
          <w:sz w:val="24"/>
          <w:szCs w:val="24"/>
        </w:rPr>
        <w:t xml:space="preserve">Walker, X.J., Rogers, B.M., Baltzer, J.L., Cumming, S.G., Day, N.J., Goetz, S.J., </w:t>
      </w:r>
      <w:r w:rsidRPr="005D5697">
        <w:rPr>
          <w:rFonts w:ascii="Calibri" w:hAnsi="Calibri" w:cs="Calibri"/>
          <w:i/>
          <w:iCs/>
          <w:noProof/>
          <w:sz w:val="24"/>
          <w:szCs w:val="24"/>
        </w:rPr>
        <w:t>et al.</w:t>
      </w:r>
      <w:r w:rsidRPr="005D5697">
        <w:rPr>
          <w:rFonts w:ascii="Calibri" w:hAnsi="Calibri" w:cs="Calibri"/>
          <w:noProof/>
          <w:sz w:val="24"/>
          <w:szCs w:val="24"/>
        </w:rPr>
        <w:t xml:space="preserve"> (2018b). Cross-scale controls on carbon emissions from boreal forest megafires. </w:t>
      </w:r>
      <w:r w:rsidRPr="005D5697">
        <w:rPr>
          <w:rFonts w:ascii="Calibri" w:hAnsi="Calibri" w:cs="Calibri"/>
          <w:i/>
          <w:iCs/>
          <w:noProof/>
          <w:sz w:val="24"/>
          <w:szCs w:val="24"/>
        </w:rPr>
        <w:t>Glob. Chang. Biol.</w:t>
      </w:r>
      <w:r w:rsidRPr="005D5697">
        <w:rPr>
          <w:rFonts w:ascii="Calibri" w:hAnsi="Calibri" w:cs="Calibri"/>
          <w:noProof/>
          <w:sz w:val="24"/>
          <w:szCs w:val="24"/>
        </w:rPr>
        <w:t>, 24, 4251–4265.</w:t>
      </w:r>
    </w:p>
    <w:p w14:paraId="519B9172" w14:textId="77777777" w:rsidR="009A7D07" w:rsidRDefault="004226A6" w:rsidP="00B856BD">
      <w:pPr>
        <w:rPr>
          <w:rFonts w:cstheme="minorHAnsi"/>
          <w:sz w:val="24"/>
          <w:szCs w:val="24"/>
        </w:rPr>
      </w:pPr>
      <w:r>
        <w:rPr>
          <w:rFonts w:cstheme="minorHAnsi"/>
          <w:sz w:val="24"/>
          <w:szCs w:val="24"/>
        </w:rPr>
        <w:fldChar w:fldCharType="end"/>
      </w:r>
    </w:p>
    <w:p w14:paraId="4163872D" w14:textId="77777777" w:rsidR="009A7D07" w:rsidRDefault="009A7D07" w:rsidP="00B856BD">
      <w:pPr>
        <w:rPr>
          <w:rFonts w:cstheme="minorHAnsi"/>
          <w:sz w:val="24"/>
          <w:szCs w:val="24"/>
        </w:rPr>
      </w:pPr>
    </w:p>
    <w:p w14:paraId="2245915B" w14:textId="77777777" w:rsidR="009A7D07" w:rsidRDefault="009A7D07" w:rsidP="00B856BD">
      <w:pPr>
        <w:rPr>
          <w:rFonts w:cstheme="minorHAnsi"/>
          <w:sz w:val="24"/>
          <w:szCs w:val="24"/>
        </w:rPr>
      </w:pPr>
    </w:p>
    <w:p w14:paraId="61E618E3" w14:textId="77777777" w:rsidR="009A7D07" w:rsidRDefault="009A7D07" w:rsidP="00B856BD">
      <w:pPr>
        <w:rPr>
          <w:rFonts w:cstheme="minorHAnsi"/>
          <w:sz w:val="24"/>
          <w:szCs w:val="24"/>
        </w:rPr>
      </w:pPr>
    </w:p>
    <w:p w14:paraId="5355AB95" w14:textId="77777777" w:rsidR="009A7D07" w:rsidRDefault="009A7D07" w:rsidP="00B856BD">
      <w:pPr>
        <w:rPr>
          <w:rFonts w:cstheme="minorHAnsi"/>
          <w:sz w:val="24"/>
          <w:szCs w:val="24"/>
        </w:rPr>
      </w:pPr>
    </w:p>
    <w:p w14:paraId="00690252" w14:textId="5827A47E" w:rsidR="00A677C7" w:rsidRPr="00D552B7" w:rsidRDefault="00A677C7" w:rsidP="00B856BD">
      <w:pPr>
        <w:rPr>
          <w:rFonts w:asciiTheme="majorHAnsi" w:hAnsiTheme="majorHAnsi" w:cstheme="majorHAnsi"/>
          <w:b/>
          <w:sz w:val="24"/>
          <w:szCs w:val="24"/>
        </w:rPr>
      </w:pPr>
      <w:r w:rsidRPr="00D552B7">
        <w:rPr>
          <w:rFonts w:asciiTheme="majorHAnsi" w:hAnsiTheme="majorHAnsi" w:cstheme="majorHAnsi"/>
          <w:b/>
          <w:sz w:val="24"/>
          <w:szCs w:val="24"/>
        </w:rPr>
        <w:t>Tables and Figures</w:t>
      </w:r>
    </w:p>
    <w:p w14:paraId="3C6D8A62" w14:textId="71504DF9" w:rsidR="00397AC1" w:rsidRPr="00397AC1" w:rsidRDefault="007B6854" w:rsidP="00397AC1">
      <w:r>
        <w:rPr>
          <w:noProof/>
          <w:lang w:eastAsia="en-CA"/>
        </w:rPr>
        <w:lastRenderedPageBreak/>
        <w:drawing>
          <wp:inline distT="0" distB="0" distL="0" distR="0" wp14:anchorId="30CC4025" wp14:editId="409498CF">
            <wp:extent cx="5943600" cy="3442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umptions_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7F8E7E68" w14:textId="528036BA" w:rsidR="00A677C7" w:rsidRDefault="00397AC1" w:rsidP="00FB0CD7">
      <w:pPr>
        <w:rPr>
          <w:sz w:val="24"/>
        </w:rPr>
      </w:pPr>
      <w:r>
        <w:rPr>
          <w:sz w:val="24"/>
        </w:rPr>
        <w:t>Figure 1: Plot of assumptions for multiple linear regression. A) residuals verses fitted values plot, checking linearity and homoscedasticity assumptions. B) normal QQ-plot, checking assumption of normality. C) Scale-location plot, checking assumption of homoscedasticity. D) Cook’s distance verses leverage pl</w:t>
      </w:r>
      <w:r w:rsidR="001A0467">
        <w:rPr>
          <w:sz w:val="24"/>
        </w:rPr>
        <w:t>ot, checking for outliers in the</w:t>
      </w:r>
      <w:r>
        <w:rPr>
          <w:sz w:val="24"/>
        </w:rPr>
        <w:t xml:space="preserve"> data. </w:t>
      </w:r>
    </w:p>
    <w:p w14:paraId="5A449E54" w14:textId="409ABE24" w:rsidR="001A0467" w:rsidRDefault="001A0467" w:rsidP="00FB0CD7">
      <w:pPr>
        <w:rPr>
          <w:sz w:val="24"/>
        </w:rPr>
      </w:pPr>
    </w:p>
    <w:p w14:paraId="1BC07023" w14:textId="77777777" w:rsidR="001A0467" w:rsidRDefault="001A0467" w:rsidP="00FB0CD7">
      <w:pPr>
        <w:rPr>
          <w:sz w:val="24"/>
        </w:rPr>
      </w:pPr>
    </w:p>
    <w:p w14:paraId="3B99C97A" w14:textId="6487177A" w:rsidR="001A0467" w:rsidRDefault="001A0467" w:rsidP="00FB0CD7">
      <w:r>
        <w:rPr>
          <w:noProof/>
          <w:lang w:eastAsia="en-CA"/>
        </w:rPr>
        <w:drawing>
          <wp:inline distT="0" distB="0" distL="0" distR="0" wp14:anchorId="72F7EF25" wp14:editId="151C4BF7">
            <wp:extent cx="5912326" cy="3051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319" cy="3071669"/>
                    </a:xfrm>
                    <a:prstGeom prst="rect">
                      <a:avLst/>
                    </a:prstGeom>
                  </pic:spPr>
                </pic:pic>
              </a:graphicData>
            </a:graphic>
          </wp:inline>
        </w:drawing>
      </w:r>
    </w:p>
    <w:p w14:paraId="7D3139E6" w14:textId="74A9FB08" w:rsidR="001A0467" w:rsidRPr="00A677C7" w:rsidRDefault="001A0467" w:rsidP="00FB0CD7">
      <w:r>
        <w:rPr>
          <w:sz w:val="24"/>
        </w:rPr>
        <w:lastRenderedPageBreak/>
        <w:t xml:space="preserve">Figure 2: Plot of effects of each predictor variable on burn depth. The four predictor variables are soil moisture, slope, dominant tree species, and stand age. </w:t>
      </w:r>
      <w:r w:rsidR="00801EF5">
        <w:rPr>
          <w:sz w:val="24"/>
        </w:rPr>
        <w:t xml:space="preserve">For dominant tree species Piba represents sites dominated by jack pine, and Pima represents sites dominated by black spruce. </w:t>
      </w:r>
    </w:p>
    <w:sectPr w:rsidR="001A0467" w:rsidRPr="00A67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C7"/>
    <w:rsid w:val="00000CC4"/>
    <w:rsid w:val="00012B4F"/>
    <w:rsid w:val="0006237C"/>
    <w:rsid w:val="000E5E16"/>
    <w:rsid w:val="00124FBD"/>
    <w:rsid w:val="00133625"/>
    <w:rsid w:val="001451D7"/>
    <w:rsid w:val="00184ED8"/>
    <w:rsid w:val="001A0467"/>
    <w:rsid w:val="002A30F5"/>
    <w:rsid w:val="002A4B0D"/>
    <w:rsid w:val="002C65C6"/>
    <w:rsid w:val="002C71BB"/>
    <w:rsid w:val="002D6417"/>
    <w:rsid w:val="003347A2"/>
    <w:rsid w:val="00344733"/>
    <w:rsid w:val="00381906"/>
    <w:rsid w:val="00384D0B"/>
    <w:rsid w:val="003933DB"/>
    <w:rsid w:val="00397AC1"/>
    <w:rsid w:val="003B5678"/>
    <w:rsid w:val="003D6257"/>
    <w:rsid w:val="004058BB"/>
    <w:rsid w:val="004226A6"/>
    <w:rsid w:val="00451B54"/>
    <w:rsid w:val="005101E2"/>
    <w:rsid w:val="00523C9D"/>
    <w:rsid w:val="00550ED1"/>
    <w:rsid w:val="00566A55"/>
    <w:rsid w:val="00590177"/>
    <w:rsid w:val="00592100"/>
    <w:rsid w:val="005D5697"/>
    <w:rsid w:val="005E7A66"/>
    <w:rsid w:val="00616B33"/>
    <w:rsid w:val="00633CF7"/>
    <w:rsid w:val="00697DC4"/>
    <w:rsid w:val="006B5466"/>
    <w:rsid w:val="00761166"/>
    <w:rsid w:val="007724E0"/>
    <w:rsid w:val="007B6854"/>
    <w:rsid w:val="00801EF5"/>
    <w:rsid w:val="008156ED"/>
    <w:rsid w:val="008404F2"/>
    <w:rsid w:val="008F024C"/>
    <w:rsid w:val="00960483"/>
    <w:rsid w:val="009A5D5A"/>
    <w:rsid w:val="009A7D07"/>
    <w:rsid w:val="009E3426"/>
    <w:rsid w:val="009F6A08"/>
    <w:rsid w:val="00A259D4"/>
    <w:rsid w:val="00A653BF"/>
    <w:rsid w:val="00A677C7"/>
    <w:rsid w:val="00A74957"/>
    <w:rsid w:val="00AD75E6"/>
    <w:rsid w:val="00AE0C7A"/>
    <w:rsid w:val="00B22B1E"/>
    <w:rsid w:val="00B856BD"/>
    <w:rsid w:val="00BD5F3A"/>
    <w:rsid w:val="00C71640"/>
    <w:rsid w:val="00D552B7"/>
    <w:rsid w:val="00D57C4A"/>
    <w:rsid w:val="00DB1BCF"/>
    <w:rsid w:val="00DB574D"/>
    <w:rsid w:val="00DE2E07"/>
    <w:rsid w:val="00DF70BB"/>
    <w:rsid w:val="00E77D5C"/>
    <w:rsid w:val="00E9662C"/>
    <w:rsid w:val="00EC40A1"/>
    <w:rsid w:val="00F6442C"/>
    <w:rsid w:val="00F7177D"/>
    <w:rsid w:val="00F92FEC"/>
    <w:rsid w:val="00F94B37"/>
    <w:rsid w:val="00FA7A61"/>
    <w:rsid w:val="00FB0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C46D"/>
  <w15:chartTrackingRefBased/>
  <w15:docId w15:val="{8B06D6D1-D57B-429C-AA54-36841925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C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A7A61"/>
    <w:rPr>
      <w:sz w:val="16"/>
      <w:szCs w:val="16"/>
    </w:rPr>
  </w:style>
  <w:style w:type="paragraph" w:styleId="CommentText">
    <w:name w:val="annotation text"/>
    <w:basedOn w:val="Normal"/>
    <w:link w:val="CommentTextChar"/>
    <w:uiPriority w:val="99"/>
    <w:semiHidden/>
    <w:unhideWhenUsed/>
    <w:rsid w:val="00FA7A61"/>
    <w:pPr>
      <w:spacing w:line="240" w:lineRule="auto"/>
    </w:pPr>
    <w:rPr>
      <w:sz w:val="20"/>
      <w:szCs w:val="20"/>
    </w:rPr>
  </w:style>
  <w:style w:type="character" w:customStyle="1" w:styleId="CommentTextChar">
    <w:name w:val="Comment Text Char"/>
    <w:basedOn w:val="DefaultParagraphFont"/>
    <w:link w:val="CommentText"/>
    <w:uiPriority w:val="99"/>
    <w:semiHidden/>
    <w:rsid w:val="00FA7A61"/>
    <w:rPr>
      <w:sz w:val="20"/>
      <w:szCs w:val="20"/>
    </w:rPr>
  </w:style>
  <w:style w:type="paragraph" w:styleId="CommentSubject">
    <w:name w:val="annotation subject"/>
    <w:basedOn w:val="CommentText"/>
    <w:next w:val="CommentText"/>
    <w:link w:val="CommentSubjectChar"/>
    <w:uiPriority w:val="99"/>
    <w:semiHidden/>
    <w:unhideWhenUsed/>
    <w:rsid w:val="00FA7A61"/>
    <w:rPr>
      <w:b/>
      <w:bCs/>
    </w:rPr>
  </w:style>
  <w:style w:type="character" w:customStyle="1" w:styleId="CommentSubjectChar">
    <w:name w:val="Comment Subject Char"/>
    <w:basedOn w:val="CommentTextChar"/>
    <w:link w:val="CommentSubject"/>
    <w:uiPriority w:val="99"/>
    <w:semiHidden/>
    <w:rsid w:val="00FA7A61"/>
    <w:rPr>
      <w:b/>
      <w:bCs/>
      <w:sz w:val="20"/>
      <w:szCs w:val="20"/>
    </w:rPr>
  </w:style>
  <w:style w:type="paragraph" w:styleId="BalloonText">
    <w:name w:val="Balloon Text"/>
    <w:basedOn w:val="Normal"/>
    <w:link w:val="BalloonTextChar"/>
    <w:uiPriority w:val="99"/>
    <w:semiHidden/>
    <w:unhideWhenUsed/>
    <w:rsid w:val="00FA7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49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8DA8646-1C31-4B21-BA25-05A8E07D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5</Pages>
  <Words>4551</Words>
  <Characters>25942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Ogden</dc:creator>
  <cp:keywords/>
  <dc:description/>
  <cp:lastModifiedBy>Emily Ogden</cp:lastModifiedBy>
  <cp:revision>14</cp:revision>
  <dcterms:created xsi:type="dcterms:W3CDTF">2020-03-16T19:24:00Z</dcterms:created>
  <dcterms:modified xsi:type="dcterms:W3CDTF">2020-03-19T17:24:00Z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2c481a8d-d180-3cb8-bf2f-0d67e4ac88cb</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http://www.zotero.org/styles/american-statistical-association</vt:lpwstr>
  </property>
  <property fmtid="{D5CDD505-2E9C-101B-9397-08002B2CF9AE}" pid="10" name="Mendeley Recent Style Name 2_1">
    <vt:lpwstr>American Statistical Association</vt:lpwstr>
  </property>
  <property fmtid="{D5CDD505-2E9C-101B-9397-08002B2CF9AE}" pid="11" name="Mendeley Recent Style Id 3_1">
    <vt:lpwstr>http://www.zotero.org/styles/biometrics</vt:lpwstr>
  </property>
  <property fmtid="{D5CDD505-2E9C-101B-9397-08002B2CF9AE}" pid="12" name="Mendeley Recent Style Name 3_1">
    <vt:lpwstr>Biometrics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