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35567">
      <w:pPr>
        <w:pStyle w:val="32"/>
        <w:spacing w:before="312" w:after="468"/>
        <w:rPr>
          <w:rFonts w:hint="eastAsia"/>
          <w:sz w:val="40"/>
          <w:szCs w:val="15"/>
        </w:rPr>
      </w:pPr>
      <w:r>
        <w:rPr>
          <w:rFonts w:hint="eastAsia"/>
          <w:sz w:val="40"/>
          <w:szCs w:val="15"/>
          <w:lang w:val="en-US" w:eastAsia="zh-CN"/>
        </w:rPr>
        <w:t>关于术语“</w:t>
      </w:r>
      <w:r>
        <w:rPr>
          <w:rFonts w:hint="eastAsia"/>
          <w:sz w:val="40"/>
          <w:szCs w:val="15"/>
        </w:rPr>
        <w:t>新品</w:t>
      </w:r>
      <w:r>
        <w:rPr>
          <w:rFonts w:hint="eastAsia"/>
          <w:sz w:val="40"/>
          <w:szCs w:val="15"/>
          <w:lang w:val="en-US" w:eastAsia="zh-CN"/>
        </w:rPr>
        <w:t>”</w:t>
      </w:r>
      <w:r>
        <w:rPr>
          <w:rFonts w:hint="eastAsia"/>
          <w:sz w:val="40"/>
          <w:szCs w:val="15"/>
        </w:rPr>
        <w:t>定义</w:t>
      </w:r>
      <w:r>
        <w:rPr>
          <w:rFonts w:hint="eastAsia"/>
          <w:sz w:val="40"/>
          <w:szCs w:val="15"/>
          <w:lang w:val="en-US" w:eastAsia="zh-CN"/>
        </w:rPr>
        <w:t>讨论</w:t>
      </w:r>
      <w:r>
        <w:rPr>
          <w:rFonts w:hint="eastAsia"/>
          <w:sz w:val="40"/>
          <w:szCs w:val="15"/>
        </w:rPr>
        <w:t>稿</w:t>
      </w:r>
    </w:p>
    <w:p w14:paraId="2628E1D5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术语</w:t>
      </w:r>
      <w:r>
        <w:rPr>
          <w:rFonts w:hint="eastAsia"/>
        </w:rPr>
        <w:t>定义</w:t>
      </w:r>
    </w:p>
    <w:p w14:paraId="4532C58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</w:rPr>
        <w:t>新品</w:t>
      </w:r>
      <w:r>
        <w:rPr>
          <w:rFonts w:hint="eastAsia"/>
          <w:lang w:val="en-US" w:eastAsia="zh-CN"/>
        </w:rPr>
        <w:t>定义</w:t>
      </w:r>
      <w:r>
        <w:rPr>
          <w:rFonts w:hint="eastAsia"/>
          <w:highlight w:val="yellow"/>
          <w:lang w:val="en-US" w:eastAsia="zh-CN"/>
        </w:rPr>
        <w:t>（面向研发管理与绩效考核）</w:t>
      </w:r>
      <w:bookmarkStart w:id="0" w:name="_GoBack"/>
      <w:bookmarkEnd w:id="0"/>
    </w:p>
    <w:p w14:paraId="71A84FD9">
      <w:pPr>
        <w:pStyle w:val="3"/>
        <w:bidi w:val="0"/>
        <w:rPr>
          <w:rFonts w:hint="eastAsia"/>
        </w:rPr>
      </w:pPr>
      <w:r>
        <w:rPr>
          <w:rFonts w:hint="eastAsia"/>
          <w:b/>
          <w:bCs/>
        </w:rPr>
        <w:t>新品</w:t>
      </w:r>
      <w:r>
        <w:rPr>
          <w:rFonts w:hint="eastAsia"/>
        </w:rPr>
        <w:t>指</w:t>
      </w:r>
      <w:r>
        <w:rPr>
          <w:rFonts w:hint="eastAsia"/>
          <w:lang w:eastAsia="zh-CN"/>
        </w:rPr>
        <w:t>的是</w:t>
      </w:r>
      <w:r>
        <w:rPr>
          <w:rFonts w:hint="eastAsia"/>
        </w:rPr>
        <w:t>在技术、架构、模块、客户或市场价值等维度相较于既有产品存在实质性创新或重构，需多部门协作开发并具备独立项目编号与测试验证流程的产品/项目。</w:t>
      </w:r>
    </w:p>
    <w:p w14:paraId="2B2883B9">
      <w:pPr>
        <w:pStyle w:val="4"/>
        <w:bidi w:val="0"/>
        <w:rPr>
          <w:rFonts w:hint="eastAsia"/>
        </w:rPr>
      </w:pPr>
      <w:r>
        <w:rPr>
          <w:rFonts w:hint="eastAsia"/>
          <w:b/>
          <w:bCs/>
        </w:rPr>
        <w:t>判定标准</w:t>
      </w:r>
      <w:r>
        <w:rPr>
          <w:rFonts w:hint="eastAsia"/>
        </w:rPr>
        <w:t xml:space="preserve"> </w:t>
      </w:r>
    </w:p>
    <w:p w14:paraId="15571A98">
      <w:pPr>
        <w:pStyle w:val="3"/>
        <w:bidi w:val="0"/>
        <w:rPr>
          <w:rFonts w:hint="eastAsia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基于现有产品体系，满足以下任一条件的项目，可纳入 “新品” 管理与考核体系：</w:t>
      </w:r>
    </w:p>
    <w:p w14:paraId="5ED8B9C7">
      <w:pPr>
        <w:pStyle w:val="6"/>
        <w:bidi w:val="0"/>
        <w:rPr>
          <w:rFonts w:hint="eastAsia"/>
        </w:rPr>
      </w:pPr>
      <w:r>
        <w:rPr>
          <w:rStyle w:val="15"/>
          <w:rFonts w:ascii="宋体" w:hAnsi="宋体" w:eastAsia="宋体" w:cs="宋体"/>
          <w:b/>
          <w:sz w:val="24"/>
          <w:szCs w:val="24"/>
        </w:rPr>
        <w:t>技术/架构层级的创新</w:t>
      </w:r>
    </w:p>
    <w:p w14:paraId="05048A18">
      <w:pPr>
        <w:pStyle w:val="3"/>
        <w:numPr>
          <w:ilvl w:val="0"/>
          <w:numId w:val="2"/>
        </w:numPr>
        <w:ind w:firstLineChars="0"/>
        <w:rPr>
          <w:rFonts w:cs="Times New Roman"/>
        </w:rPr>
      </w:pPr>
      <w:r>
        <w:rPr>
          <w:rFonts w:hint="eastAsia" w:cs="Times New Roman"/>
        </w:rPr>
        <w:t>采用全新硬件模块（如首次使用某型号MK模组）、通信协议（如支持Matter、BLE MESH升级、低功耗Wi-Fi等）</w:t>
      </w:r>
      <w:r>
        <w:rPr>
          <w:rFonts w:cs="Times New Roman"/>
        </w:rPr>
        <w:t>；</w:t>
      </w:r>
    </w:p>
    <w:p w14:paraId="1270458F">
      <w:pPr>
        <w:pStyle w:val="3"/>
        <w:numPr>
          <w:ilvl w:val="0"/>
          <w:numId w:val="2"/>
        </w:numPr>
        <w:ind w:firstLineChars="0"/>
        <w:rPr>
          <w:rFonts w:hint="eastAsia" w:cs="Times New Roman"/>
        </w:rPr>
      </w:pPr>
      <w:r>
        <w:rPr>
          <w:rFonts w:cs="Times New Roman"/>
        </w:rPr>
        <w:t>对公司现有固件架构或控制端系统进行深度重构。</w:t>
      </w:r>
      <w:r>
        <w:rPr>
          <w:rFonts w:hint="default" w:cs="Times New Roman"/>
        </w:rPr>
        <w:t>·</w:t>
      </w:r>
      <w:r>
        <w:rPr>
          <w:rFonts w:hint="eastAsia" w:cs="Times New Roman"/>
        </w:rPr>
        <w:t xml:space="preserve">  </w:t>
      </w:r>
    </w:p>
    <w:p w14:paraId="39E47D94">
      <w:pPr>
        <w:pStyle w:val="6"/>
        <w:bidi w:val="0"/>
        <w:rPr>
          <w:rFonts w:hint="eastAsia"/>
        </w:rPr>
      </w:pPr>
      <w:r>
        <w:rPr>
          <w:rFonts w:hint="eastAsia"/>
        </w:rPr>
        <w:t>功能或结构</w:t>
      </w:r>
      <w:r>
        <w:rPr>
          <w:rFonts w:hint="eastAsia"/>
          <w:lang w:val="en-US" w:eastAsia="zh-CN"/>
        </w:rPr>
        <w:t>上的</w:t>
      </w:r>
      <w:r>
        <w:rPr>
          <w:rFonts w:hint="eastAsia"/>
        </w:rPr>
        <w:t>重大</w:t>
      </w:r>
      <w:r>
        <w:rPr>
          <w:rFonts w:hint="eastAsia"/>
          <w:lang w:val="en-US" w:eastAsia="zh-CN"/>
        </w:rPr>
        <w:t>定制</w:t>
      </w:r>
    </w:p>
    <w:p w14:paraId="510EE220">
      <w:pPr>
        <w:pStyle w:val="3"/>
        <w:numPr>
          <w:ilvl w:val="0"/>
          <w:numId w:val="2"/>
        </w:numPr>
        <w:ind w:firstLineChars="0"/>
        <w:rPr>
          <w:rFonts w:hint="eastAsia" w:cs="Times New Roman"/>
        </w:rPr>
      </w:pPr>
      <w:r>
        <w:rPr>
          <w:rFonts w:hint="eastAsia" w:cs="Times New Roman"/>
        </w:rPr>
        <w:t>基于公版产品开发，但涉及结构、控制逻辑或系统功能的重大改动（非配置类改版），且</w:t>
      </w:r>
      <w:r>
        <w:rPr>
          <w:rFonts w:hint="eastAsia" w:cs="Times New Roman"/>
          <w:highlight w:val="yellow"/>
        </w:rPr>
        <w:t>开发资源投入≥2 人月</w:t>
      </w:r>
      <w:r>
        <w:rPr>
          <w:rFonts w:hint="eastAsia" w:cs="Times New Roman"/>
        </w:rPr>
        <w:t>。</w:t>
      </w:r>
    </w:p>
    <w:p w14:paraId="777399AA">
      <w:pPr>
        <w:pStyle w:val="6"/>
        <w:bidi w:val="0"/>
        <w:rPr>
          <w:rFonts w:hint="eastAsia"/>
        </w:rPr>
      </w:pPr>
      <w:r>
        <w:rPr>
          <w:rFonts w:hint="eastAsia"/>
        </w:rPr>
        <w:t>跨部门研发协作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正式</w:t>
      </w:r>
      <w:r>
        <w:rPr>
          <w:rFonts w:hint="eastAsia"/>
        </w:rPr>
        <w:t>项目</w:t>
      </w:r>
    </w:p>
    <w:p w14:paraId="71881F7A">
      <w:pPr>
        <w:pStyle w:val="3"/>
        <w:numPr>
          <w:ilvl w:val="0"/>
          <w:numId w:val="2"/>
        </w:numPr>
        <w:ind w:firstLineChars="0"/>
        <w:rPr>
          <w:rFonts w:hint="eastAsia" w:cs="Times New Roman"/>
        </w:rPr>
      </w:pPr>
      <w:r>
        <w:rPr>
          <w:rFonts w:hint="eastAsia" w:cs="Times New Roman"/>
        </w:rPr>
        <w:t>需产品、研发、测试等多部门协同，完成 “送样测试 - 提测验证 - 量产验证” 三个关键里程碑的完整流程，并执行专项测试、质量验证与文档归档；</w:t>
      </w:r>
    </w:p>
    <w:p w14:paraId="7D9C4CA6">
      <w:pPr>
        <w:pStyle w:val="3"/>
        <w:numPr>
          <w:ilvl w:val="0"/>
          <w:numId w:val="2"/>
        </w:numPr>
        <w:ind w:firstLineChars="0"/>
        <w:rPr>
          <w:rFonts w:hint="eastAsia" w:cs="Times New Roman"/>
        </w:rPr>
      </w:pPr>
      <w:r>
        <w:rPr>
          <w:rStyle w:val="15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关键里程碑说明</w:t>
      </w:r>
      <w:r>
        <w:rPr>
          <w:rFonts w:hint="eastAsia" w:cs="Times New Roman"/>
        </w:rPr>
        <w:t>：</w:t>
      </w:r>
    </w:p>
    <w:p w14:paraId="21B07C8C">
      <w:pPr>
        <w:pStyle w:val="3"/>
        <w:numPr>
          <w:ilvl w:val="1"/>
          <w:numId w:val="2"/>
        </w:numPr>
        <w:ind w:left="1260" w:leftChars="0" w:hanging="420" w:firstLineChars="0"/>
        <w:rPr>
          <w:rFonts w:hint="eastAsia" w:cs="Times New Roman"/>
        </w:rPr>
      </w:pPr>
      <w:r>
        <w:rPr>
          <w:rFonts w:hint="eastAsia" w:cs="Times New Roman"/>
        </w:rPr>
        <w:t>送样：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研发版本完成，具备功能演示与初步验证条件，交付产品部门或客户试用；</w:t>
      </w:r>
    </w:p>
    <w:p w14:paraId="16BBCCE7">
      <w:pPr>
        <w:pStyle w:val="3"/>
        <w:numPr>
          <w:ilvl w:val="1"/>
          <w:numId w:val="2"/>
        </w:numPr>
        <w:ind w:left="1260" w:leftChars="0" w:hanging="420" w:firstLineChars="0"/>
        <w:rPr>
          <w:rFonts w:hint="eastAsia" w:cs="Times New Roman"/>
        </w:rPr>
      </w:pPr>
      <w:r>
        <w:rPr>
          <w:rFonts w:hint="eastAsia" w:cs="Times New Roman"/>
        </w:rPr>
        <w:t>提测：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产品接入正式平台（如米家）进行上线前测试，涵盖功能、性能、兼容性等全项检测；</w:t>
      </w:r>
    </w:p>
    <w:p w14:paraId="4B834D6B">
      <w:pPr>
        <w:pStyle w:val="3"/>
        <w:numPr>
          <w:ilvl w:val="1"/>
          <w:numId w:val="2"/>
        </w:numPr>
        <w:ind w:left="1260" w:leftChars="0" w:hanging="420" w:firstLineChars="0"/>
        <w:rPr>
          <w:rFonts w:hint="eastAsia" w:cs="Times New Roman"/>
        </w:rPr>
      </w:pPr>
      <w:r>
        <w:rPr>
          <w:rFonts w:hint="eastAsia" w:cs="Times New Roman"/>
        </w:rPr>
        <w:t>量产：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研发定版并通过测试后，进入量产准备，包括 BOM 确认、产测脚本固化及批量交付验证。</w:t>
      </w:r>
    </w:p>
    <w:p w14:paraId="37A23D8F">
      <w:pPr>
        <w:pStyle w:val="3"/>
        <w:numPr>
          <w:ilvl w:val="0"/>
          <w:numId w:val="2"/>
        </w:numPr>
        <w:ind w:firstLineChars="0"/>
        <w:rPr>
          <w:rFonts w:hint="eastAsia" w:cs="Times New Roman"/>
        </w:rPr>
      </w:pPr>
      <w:r>
        <w:rPr>
          <w:rFonts w:hint="eastAsia" w:cs="Times New Roman"/>
          <w:b/>
          <w:bCs/>
          <w:lang w:val="en-US" w:eastAsia="zh-CN"/>
        </w:rPr>
        <w:t>排除项</w:t>
      </w:r>
      <w:r>
        <w:rPr>
          <w:rFonts w:hint="default" w:cs="Times New Roman"/>
          <w:lang w:val="en-US" w:eastAsia="zh-CN"/>
        </w:rPr>
        <w:t>：仅单次测试配合、评审咨询等非完整开发交付的协作项目，不纳入新品</w:t>
      </w:r>
      <w:r>
        <w:rPr>
          <w:rFonts w:hint="default" w:cs="Times New Roman"/>
        </w:rPr>
        <w:t>范畴。</w:t>
      </w:r>
    </w:p>
    <w:p w14:paraId="0D89166B">
      <w:pPr>
        <w:pStyle w:val="6"/>
        <w:bidi w:val="0"/>
        <w:rPr>
          <w:rFonts w:hint="eastAsia"/>
        </w:rPr>
      </w:pPr>
      <w:r>
        <w:rPr>
          <w:rFonts w:hint="eastAsia"/>
        </w:rPr>
        <w:t>新客户或新市场导向型产品</w:t>
      </w:r>
    </w:p>
    <w:p w14:paraId="20DB9F90">
      <w:pPr>
        <w:pStyle w:val="3"/>
        <w:numPr>
          <w:ilvl w:val="0"/>
          <w:numId w:val="2"/>
        </w:numPr>
        <w:ind w:firstLineChars="0"/>
        <w:rPr>
          <w:rFonts w:hint="eastAsia" w:cs="Times New Roman"/>
        </w:rPr>
      </w:pPr>
      <w:r>
        <w:rPr>
          <w:rFonts w:hint="eastAsia" w:cs="Times New Roman"/>
        </w:rPr>
        <w:t>满足新客户、新品类或新场景需求，具备战略价值；</w:t>
      </w:r>
    </w:p>
    <w:p w14:paraId="6DEAB1D1">
      <w:pPr>
        <w:pStyle w:val="3"/>
        <w:numPr>
          <w:ilvl w:val="0"/>
          <w:numId w:val="2"/>
        </w:numPr>
        <w:ind w:firstLineChars="0"/>
        <w:rPr>
          <w:rFonts w:hint="eastAsia" w:cs="Times New Roman"/>
        </w:rPr>
      </w:pPr>
      <w:r>
        <w:rPr>
          <w:rFonts w:hint="eastAsia" w:cs="Times New Roman"/>
          <w:lang w:val="en-US" w:eastAsia="zh-CN"/>
        </w:rPr>
        <w:t>补充说明：</w:t>
      </w:r>
    </w:p>
    <w:p w14:paraId="72895616">
      <w:pPr>
        <w:pStyle w:val="3"/>
        <w:numPr>
          <w:ilvl w:val="1"/>
          <w:numId w:val="2"/>
        </w:numPr>
        <w:bidi w:val="0"/>
        <w:ind w:left="420" w:leftChars="0" w:firstLine="420" w:firstLineChars="175"/>
        <w:rPr>
          <w:rFonts w:hint="eastAsia"/>
        </w:rPr>
      </w:pPr>
      <w:r>
        <w:t>新客户合作产品若完全复用公版方案且无技术调整，不认定为新品</w:t>
      </w:r>
      <w:r>
        <w:rPr>
          <w:rFonts w:hint="eastAsia"/>
        </w:rPr>
        <w:t>；</w:t>
      </w:r>
    </w:p>
    <w:p w14:paraId="7D46B8BF">
      <w:pPr>
        <w:pStyle w:val="3"/>
        <w:numPr>
          <w:ilvl w:val="1"/>
          <w:numId w:val="2"/>
        </w:numPr>
        <w:bidi w:val="0"/>
        <w:ind w:left="420" w:leftChars="0" w:firstLine="420" w:firstLineChars="175"/>
        <w:rPr>
          <w:rFonts w:hint="eastAsia"/>
        </w:rPr>
      </w:pPr>
      <w:r>
        <w:t>现有功能接入新平台（如百度、Apple HomeKit），视为新品</w:t>
      </w:r>
      <w:r>
        <w:rPr>
          <w:rFonts w:hint="eastAsia"/>
        </w:rPr>
        <w:t>；</w:t>
      </w:r>
    </w:p>
    <w:p w14:paraId="7F41F443">
      <w:pPr>
        <w:pStyle w:val="3"/>
        <w:numPr>
          <w:ilvl w:val="1"/>
          <w:numId w:val="2"/>
        </w:numPr>
        <w:bidi w:val="0"/>
        <w:ind w:left="420" w:leftChars="0" w:firstLine="420" w:firstLineChars="175"/>
        <w:rPr>
          <w:rFonts w:hint="eastAsia"/>
        </w:rPr>
      </w:pPr>
      <w:r>
        <w:t>因海外认证（如 CE/FCC）调整设计或工艺，认定为新品</w:t>
      </w:r>
      <w:r>
        <w:rPr>
          <w:rFonts w:hint="eastAsia"/>
        </w:rPr>
        <w:t>；</w:t>
      </w:r>
    </w:p>
    <w:p w14:paraId="70CC40D6">
      <w:pPr>
        <w:pStyle w:val="3"/>
        <w:numPr>
          <w:ilvl w:val="1"/>
          <w:numId w:val="2"/>
        </w:numPr>
        <w:bidi w:val="0"/>
        <w:ind w:left="420" w:leftChars="0" w:firstLine="420" w:firstLineChars="175"/>
        <w:rPr>
          <w:rFonts w:hint="eastAsia"/>
        </w:rPr>
      </w:pPr>
      <w:r>
        <w:t>设备供应商、平台替换涉及驱动适配、协议转换等技术工作，纳入新品管理</w:t>
      </w:r>
      <w:r>
        <w:rPr>
          <w:rFonts w:hint="eastAsia"/>
        </w:rPr>
        <w:t>。</w:t>
      </w:r>
    </w:p>
    <w:p w14:paraId="26DE998D">
      <w:pPr>
        <w:pStyle w:val="3"/>
        <w:bidi w:val="0"/>
        <w:ind w:firstLine="0" w:firstLineChars="0"/>
        <w:rPr>
          <w:rFonts w:hint="eastAsia"/>
          <w:lang w:val="en-US" w:eastAsia="zh-CN"/>
        </w:rPr>
      </w:pPr>
      <w:r>
        <w:rPr>
          <w:b/>
          <w:bCs/>
        </w:rPr>
        <w:t>管理要求</w:t>
      </w:r>
      <w:r>
        <w:rPr>
          <w:rFonts w:hint="eastAsia"/>
          <w:lang w:val="en-US" w:eastAsia="zh-CN"/>
        </w:rPr>
        <w:t>：</w:t>
      </w:r>
      <w:r>
        <w:t>新品认定由产品部主导，研发部、测试部可提出建议，最终由产品部统一归档并录入产品数据库。</w:t>
      </w:r>
    </w:p>
    <w:p w14:paraId="0A7A9930">
      <w:pPr>
        <w:pStyle w:val="2"/>
      </w:pPr>
      <w:r>
        <w:rPr>
          <w:rFonts w:hint="eastAsia"/>
        </w:rPr>
        <w:t>新品分级标准（按定制深度与战略价值）</w:t>
      </w:r>
    </w:p>
    <w:p w14:paraId="1D09C552">
      <w:pPr>
        <w:pStyle w:val="3"/>
      </w:pPr>
      <w:r>
        <w:rPr>
          <w:rFonts w:hint="eastAsia"/>
        </w:rPr>
        <w:t>根据定制深度与战略价值，新品分为 S、D、X 三类：</w:t>
      </w:r>
    </w:p>
    <w:tbl>
      <w:tblPr>
        <w:tblW w:w="938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750"/>
        <w:gridCol w:w="5283"/>
        <w:gridCol w:w="2675"/>
      </w:tblGrid>
      <w:tr w14:paraId="3EF8C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3FAC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40404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分</w:t>
            </w:r>
            <w:r>
              <w:rPr>
                <w:rFonts w:hint="default" w:ascii="Segoe UI" w:hAnsi="Segoe UI" w:eastAsia="Segoe UI" w:cs="Segoe UI"/>
                <w:i w:val="0"/>
                <w:iCs w:val="0"/>
                <w:color w:val="40404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级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3A81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40404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5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E72C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40404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判定标准</w:t>
            </w:r>
          </w:p>
        </w:tc>
        <w:tc>
          <w:tcPr>
            <w:tcW w:w="2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C0F0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示例项目</w:t>
            </w:r>
          </w:p>
        </w:tc>
      </w:tr>
      <w:tr w14:paraId="7CFF6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4" w:hRule="atLeast"/>
        </w:trPr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421C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olor w:val="404040"/>
                <w:sz w:val="21"/>
                <w:szCs w:val="21"/>
                <w:highlight w:val="yellow"/>
                <w:u w:val="no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olor w:val="404040"/>
                <w:kern w:val="0"/>
                <w:sz w:val="21"/>
                <w:szCs w:val="21"/>
                <w:highlight w:val="yellow"/>
                <w:u w:val="none"/>
                <w:bdr w:val="none" w:color="auto" w:sz="0" w:space="0"/>
                <w:lang w:val="en-US" w:eastAsia="zh-CN" w:bidi="ar"/>
              </w:rPr>
              <w:t>S类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0CD7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40404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标准定制</w:t>
            </w:r>
          </w:p>
        </w:tc>
        <w:tc>
          <w:tcPr>
            <w:tcW w:w="5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5D39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40404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40404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- 基于公版微调功能（增减≤2 项）或 UI / 默认参数；</w:t>
            </w:r>
          </w:p>
          <w:p w14:paraId="4611FF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40404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40404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- 控制逻辑不变，开发周期≤1 个月，复用率≥80%；</w:t>
            </w:r>
          </w:p>
          <w:p w14:paraId="1ECEBD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40404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40404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- 不影响原架构、测试与生产流程</w:t>
            </w:r>
          </w:p>
        </w:tc>
        <w:tc>
          <w:tcPr>
            <w:tcW w:w="2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E383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Segoe UI" w:hAnsi="Segoe UI" w:eastAsia="Segoe UI" w:cs="Segoe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灯具新增 “月光模式”；</w:t>
            </w:r>
          </w:p>
          <w:p w14:paraId="10B6D7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开关新增 “延时关”</w:t>
            </w:r>
          </w:p>
        </w:tc>
      </w:tr>
      <w:tr w14:paraId="3B009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1720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olor w:val="404040"/>
                <w:sz w:val="21"/>
                <w:szCs w:val="21"/>
                <w:highlight w:val="yellow"/>
                <w:u w:val="no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olor w:val="404040"/>
                <w:kern w:val="0"/>
                <w:sz w:val="21"/>
                <w:szCs w:val="21"/>
                <w:highlight w:val="yellow"/>
                <w:u w:val="none"/>
                <w:bdr w:val="none" w:color="auto" w:sz="0" w:space="0"/>
                <w:lang w:val="en-US" w:eastAsia="zh-CN" w:bidi="ar"/>
              </w:rPr>
              <w:t>D类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108B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40404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深度定制</w:t>
            </w:r>
          </w:p>
        </w:tc>
        <w:tc>
          <w:tcPr>
            <w:tcW w:w="5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5C01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40404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40404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- 涉及硬件结构、控制逻辑或通信协议改动；</w:t>
            </w:r>
          </w:p>
          <w:p w14:paraId="37F4D7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40404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40404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- 需重新开发功能、测试流程或对接新平台；</w:t>
            </w:r>
          </w:p>
          <w:p w14:paraId="28D24D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40404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- 投入≥3 人月，成本≥50 万</w:t>
            </w:r>
          </w:p>
        </w:tc>
        <w:tc>
          <w:tcPr>
            <w:tcW w:w="2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A9BB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工业级空气净化器防尘防爆改造；</w:t>
            </w:r>
          </w:p>
          <w:p w14:paraId="274F32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Wi-Fi 灯具支持 Matter 协议</w:t>
            </w:r>
          </w:p>
        </w:tc>
      </w:tr>
      <w:tr w14:paraId="7178B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D871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olor w:val="404040"/>
                <w:sz w:val="21"/>
                <w:szCs w:val="21"/>
                <w:highlight w:val="yellow"/>
                <w:u w:val="no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olor w:val="404040"/>
                <w:kern w:val="0"/>
                <w:sz w:val="21"/>
                <w:szCs w:val="21"/>
                <w:highlight w:val="yellow"/>
                <w:u w:val="none"/>
                <w:bdr w:val="none" w:color="auto" w:sz="0" w:space="0"/>
                <w:lang w:val="en-US" w:eastAsia="zh-CN" w:bidi="ar"/>
              </w:rPr>
              <w:t>X类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79FC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40404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创新项目</w:t>
            </w:r>
          </w:p>
        </w:tc>
        <w:tc>
          <w:tcPr>
            <w:tcW w:w="5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01E4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40404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40404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- 突破公版能力，实现平台跨界、算法创新或系统重构；</w:t>
            </w:r>
          </w:p>
          <w:p w14:paraId="5D8D1F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40404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40404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- 具备战略意义，需申请≥1 项专利或软著；</w:t>
            </w:r>
          </w:p>
          <w:p w14:paraId="00DB15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404040"/>
                <w:sz w:val="21"/>
                <w:szCs w:val="21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40404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- 采用 PLM 全流程管理，资源投入显著高于常规项目</w:t>
            </w:r>
          </w:p>
        </w:tc>
        <w:tc>
          <w:tcPr>
            <w:tcW w:w="2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D877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404040"/>
                <w:sz w:val="18"/>
                <w:szCs w:val="18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40404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支持多平台的智能中控屏</w:t>
            </w:r>
          </w:p>
        </w:tc>
      </w:tr>
    </w:tbl>
    <w:p w14:paraId="24C5C0E8">
      <w:pPr>
        <w:pStyle w:val="11"/>
        <w:keepNext w:val="0"/>
        <w:keepLines w:val="0"/>
        <w:widowControl/>
        <w:suppressLineNumbers w:val="0"/>
        <w:shd w:val="clear" w:fill="FFFFFF"/>
        <w:spacing w:before="0" w:beforeAutospacing="1" w:after="0" w:afterAutospacing="1"/>
        <w:ind w:left="0" w:right="0" w:firstLine="0"/>
        <w:rPr>
          <w:rStyle w:val="15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Style w:val="15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排除范围：</w:t>
      </w:r>
      <w:r>
        <w:rPr>
          <w:rStyle w:val="15"/>
          <w:rFonts w:hint="default" w:ascii="Segoe UI" w:hAnsi="Segoe UI" w:eastAsia="Segoe UI" w:cs="Segoe UI"/>
          <w:b w:val="0"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UI 图标调整、未入合同的客户临时需求变更等不纳入分级管理。</w:t>
      </w:r>
    </w:p>
    <w:p w14:paraId="5BAC36D9">
      <w:pPr>
        <w:pStyle w:val="2"/>
      </w:pPr>
      <w:r>
        <w:rPr>
          <w:rFonts w:hint="eastAsia"/>
        </w:rPr>
        <w:t>项目类型判定与示例</w:t>
      </w:r>
    </w:p>
    <w:tbl>
      <w:tblPr>
        <w:tblW w:w="8963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5"/>
        <w:gridCol w:w="1233"/>
        <w:gridCol w:w="4875"/>
      </w:tblGrid>
      <w:tr w14:paraId="67550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971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项目类型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8B2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是否认定为新品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2F5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判定说明</w:t>
            </w:r>
          </w:p>
        </w:tc>
      </w:tr>
      <w:tr w14:paraId="510D1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F537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公版产品（直接套用）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2DA5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7109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无研发投入或仅做配置调整</w:t>
            </w:r>
          </w:p>
        </w:tc>
      </w:tr>
      <w:tr w14:paraId="19CF6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2603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公版产品 + S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级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定制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C042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4684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控制逻辑、外观改动小，不影响架构，不纳入新品考核</w:t>
            </w:r>
          </w:p>
        </w:tc>
      </w:tr>
      <w:tr w14:paraId="18807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FD3B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公版产品 + D / X级定制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2E92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8F35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涉及结构、逻辑或协议适配的实质性修改</w:t>
            </w:r>
          </w:p>
        </w:tc>
      </w:tr>
      <w:tr w14:paraId="3FC1F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5B58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全新项目（结构 + 硬件 + 固件重构）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5986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7609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深度定制或新品类开拓，必属新品</w:t>
            </w:r>
          </w:p>
        </w:tc>
      </w:tr>
      <w:tr w14:paraId="277DC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352F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米家非标类或其他平台新产品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A33F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视情况而定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1DC3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需评估开发深度与战略价值，由产品部提议认定</w:t>
            </w:r>
          </w:p>
        </w:tc>
      </w:tr>
      <w:tr w14:paraId="4C507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E14B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跨部门配合（无完整交付流程）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DCB7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4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60A2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非正式立项，未完成送样 - 提测 - 量产闭环，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，不能认定为新品。</w:t>
            </w:r>
          </w:p>
        </w:tc>
      </w:tr>
    </w:tbl>
    <w:p w14:paraId="20431FAE">
      <w:pPr>
        <w:pStyle w:val="3"/>
      </w:pPr>
    </w:p>
    <w:p w14:paraId="3FDA12A0">
      <w:pPr>
        <w:pStyle w:val="2"/>
      </w:pPr>
      <w:r>
        <w:rPr>
          <w:rFonts w:hint="eastAsia"/>
          <w:lang w:val="en-US" w:eastAsia="zh-CN"/>
        </w:rPr>
        <w:t>研发管理与绩效考核支撑</w:t>
      </w:r>
    </w:p>
    <w:p w14:paraId="7123322C">
      <w:pPr>
        <w:pStyle w:val="4"/>
        <w:bidi w:val="0"/>
        <w:rPr>
          <w:rFonts w:hint="eastAsia"/>
        </w:rPr>
      </w:pPr>
      <w:r>
        <w:rPr>
          <w:rFonts w:hint="eastAsia"/>
        </w:rPr>
        <w:t>管理流程</w:t>
      </w:r>
    </w:p>
    <w:p w14:paraId="53C2FD39">
      <w:pPr>
        <w:pStyle w:val="3"/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归类流程</w:t>
      </w:r>
      <w:r>
        <w:rPr>
          <w:rFonts w:hint="eastAsia"/>
        </w:rPr>
        <w:t>：产品部在立项阶段标记新品属性，并在系统中备案。</w:t>
      </w:r>
    </w:p>
    <w:p w14:paraId="38B5FDF8">
      <w:pPr>
        <w:pStyle w:val="3"/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绩效考核</w:t>
      </w:r>
      <w:r>
        <w:rPr>
          <w:rFonts w:hint="eastAsia"/>
        </w:rPr>
        <w:t>：新品项目采用专项指标，包括按期交付率、首版测试通过率、客户满意度、缺陷密度等。</w:t>
      </w:r>
    </w:p>
    <w:p w14:paraId="75A89066">
      <w:pPr>
        <w:pStyle w:val="3"/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协作机制</w:t>
      </w:r>
      <w:r>
        <w:rPr>
          <w:rFonts w:hint="eastAsia"/>
        </w:rPr>
        <w:t>：采用 “首版迭代周期 + PLM 五阶段” 管理，覆盖送样、提测、量产关键里程碑，确保质量闭环。</w:t>
      </w:r>
    </w:p>
    <w:p w14:paraId="64153B60">
      <w:pPr>
        <w:pStyle w:val="3"/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数据管理</w:t>
      </w:r>
      <w:r>
        <w:rPr>
          <w:rFonts w:hint="eastAsia"/>
        </w:rPr>
        <w:t>：记录模块编号、版本号、功能变更、测试报告、客户反馈等核心数据。</w:t>
      </w:r>
    </w:p>
    <w:p w14:paraId="396FF61E">
      <w:pPr>
        <w:pStyle w:val="3"/>
        <w:numPr>
          <w:ilvl w:val="0"/>
          <w:numId w:val="3"/>
        </w:numPr>
        <w:bidi w:val="0"/>
        <w:ind w:left="420" w:leftChars="0" w:hanging="420" w:firstLineChars="0"/>
      </w:pPr>
      <w:r>
        <w:rPr>
          <w:rFonts w:hint="eastAsia"/>
          <w:b/>
          <w:bCs/>
        </w:rPr>
        <w:t>资源支持</w:t>
      </w:r>
      <w:r>
        <w:rPr>
          <w:rFonts w:hint="eastAsia"/>
        </w:rPr>
        <w:t>：优先保障新品项目的研发、测试及管理资源，凸显战略地位。</w:t>
      </w:r>
    </w:p>
    <w:p w14:paraId="74DB29C5">
      <w:pPr>
        <w:pStyle w:val="2"/>
        <w:bidi w:val="0"/>
      </w:pPr>
      <w:r>
        <w:rPr>
          <w:rFonts w:hint="default"/>
        </w:rPr>
        <w:t>新品生命周期管理</w:t>
      </w:r>
    </w:p>
    <w:p w14:paraId="4B502E8A">
      <w:pPr>
        <w:pStyle w:val="4"/>
        <w:bidi w:val="0"/>
      </w:pPr>
      <w:r>
        <w:rPr>
          <w:rFonts w:hint="eastAsia"/>
        </w:rPr>
        <w:t>管理阶段与重点</w:t>
      </w:r>
    </w:p>
    <w:tbl>
      <w:tblPr>
        <w:tblW w:w="706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4770"/>
      </w:tblGrid>
      <w:tr w14:paraId="17F9C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59C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4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A80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管理重点</w:t>
            </w:r>
          </w:p>
        </w:tc>
      </w:tr>
      <w:tr w14:paraId="5C14A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1B21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需求阶段</w:t>
            </w:r>
          </w:p>
        </w:tc>
        <w:tc>
          <w:tcPr>
            <w:tcW w:w="4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834D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明确客户需求、产品目标、场景用途</w:t>
            </w:r>
          </w:p>
        </w:tc>
      </w:tr>
      <w:tr w14:paraId="31DE5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DD43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设计与开发阶段</w:t>
            </w:r>
          </w:p>
        </w:tc>
        <w:tc>
          <w:tcPr>
            <w:tcW w:w="4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1F89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完成软硬件方案设计、模块选型、编码实现</w:t>
            </w:r>
          </w:p>
        </w:tc>
      </w:tr>
      <w:tr w14:paraId="1708F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BF0F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测试阶段</w:t>
            </w:r>
          </w:p>
        </w:tc>
        <w:tc>
          <w:tcPr>
            <w:tcW w:w="4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97F1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执行送样测试、提测测试、量产测试</w:t>
            </w:r>
          </w:p>
        </w:tc>
      </w:tr>
      <w:tr w14:paraId="2D90D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5887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生产阶段</w:t>
            </w:r>
          </w:p>
        </w:tc>
        <w:tc>
          <w:tcPr>
            <w:tcW w:w="4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3105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确认BOM、生产资料，产测工具接入</w:t>
            </w:r>
          </w:p>
        </w:tc>
      </w:tr>
      <w:tr w14:paraId="48B8C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8965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运维阶段</w:t>
            </w:r>
          </w:p>
        </w:tc>
        <w:tc>
          <w:tcPr>
            <w:tcW w:w="4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1872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上线后Bug跟踪、版本维护、客户反馈响应</w:t>
            </w:r>
          </w:p>
        </w:tc>
      </w:tr>
    </w:tbl>
    <w:p w14:paraId="762265B0">
      <w:pPr>
        <w:pStyle w:val="4"/>
        <w:bidi w:val="0"/>
        <w:rPr>
          <w:rFonts w:hint="eastAsia"/>
        </w:rPr>
      </w:pPr>
      <w:r>
        <w:rPr>
          <w:rFonts w:hint="eastAsia"/>
        </w:rPr>
        <w:t>归档文档要求</w:t>
      </w:r>
    </w:p>
    <w:p w14:paraId="39C8823C">
      <w:pPr>
        <w:pStyle w:val="3"/>
        <w:rPr>
          <w:rFonts w:hint="eastAsia"/>
        </w:rPr>
      </w:pPr>
      <w:r>
        <w:rPr>
          <w:rFonts w:hint="eastAsia"/>
        </w:rPr>
        <w:t>新品项目需提交以下文档至公司研发平台 / 项目管理系统：</w:t>
      </w:r>
    </w:p>
    <w:p w14:paraId="5B9A0FB1">
      <w:pPr>
        <w:pStyle w:val="3"/>
        <w:numPr>
          <w:ilvl w:val="0"/>
          <w:numId w:val="4"/>
        </w:numPr>
        <w:bidi w:val="0"/>
        <w:ind w:left="840" w:leftChars="0" w:hanging="420" w:firstLineChars="0"/>
        <w:rPr>
          <w:rFonts w:hint="eastAsia"/>
        </w:rPr>
      </w:pPr>
      <w:r>
        <w:rPr>
          <w:rFonts w:hint="eastAsia"/>
        </w:rPr>
        <w:t>需求文档（PRD或客户需求文档）</w:t>
      </w:r>
    </w:p>
    <w:p w14:paraId="47F32919">
      <w:pPr>
        <w:pStyle w:val="3"/>
        <w:numPr>
          <w:ilvl w:val="0"/>
          <w:numId w:val="4"/>
        </w:numPr>
        <w:bidi w:val="0"/>
        <w:ind w:left="840" w:leftChars="0" w:hanging="420" w:firstLineChars="0"/>
        <w:rPr>
          <w:rFonts w:hint="eastAsia"/>
        </w:rPr>
      </w:pPr>
      <w:r>
        <w:rPr>
          <w:rFonts w:hint="eastAsia"/>
        </w:rPr>
        <w:t>功能定义文档（功能明细、逻辑图、控制流程等）</w:t>
      </w:r>
    </w:p>
    <w:p w14:paraId="27AB83FF">
      <w:pPr>
        <w:pStyle w:val="3"/>
        <w:numPr>
          <w:ilvl w:val="0"/>
          <w:numId w:val="4"/>
        </w:numPr>
        <w:bidi w:val="0"/>
        <w:ind w:left="840" w:leftChars="0" w:hanging="420" w:firstLineChars="0"/>
        <w:rPr>
          <w:rFonts w:hint="eastAsia"/>
        </w:rPr>
      </w:pPr>
      <w:r>
        <w:rPr>
          <w:rFonts w:hint="eastAsia"/>
        </w:rPr>
        <w:t>硬件设计文档（结构图、</w:t>
      </w:r>
      <w:r>
        <w:rPr>
          <w:rFonts w:hint="eastAsia"/>
          <w:lang w:val="en-US" w:eastAsia="zh-CN"/>
        </w:rPr>
        <w:t>电路原理图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PCB、</w:t>
      </w:r>
      <w:r>
        <w:rPr>
          <w:rFonts w:hint="eastAsia"/>
        </w:rPr>
        <w:t>模块使用说明）</w:t>
      </w:r>
    </w:p>
    <w:p w14:paraId="7738EEA2">
      <w:pPr>
        <w:pStyle w:val="3"/>
        <w:numPr>
          <w:ilvl w:val="0"/>
          <w:numId w:val="4"/>
        </w:numPr>
        <w:bidi w:val="0"/>
        <w:ind w:left="840" w:leftChars="0" w:hanging="420" w:firstLineChars="0"/>
        <w:rPr>
          <w:rFonts w:hint="eastAsia"/>
        </w:rPr>
      </w:pPr>
      <w:r>
        <w:rPr>
          <w:rFonts w:hint="eastAsia"/>
        </w:rPr>
        <w:t>固件/APP设计文档（模块结构、接口定义）</w:t>
      </w:r>
    </w:p>
    <w:p w14:paraId="66238313">
      <w:pPr>
        <w:pStyle w:val="3"/>
        <w:numPr>
          <w:ilvl w:val="0"/>
          <w:numId w:val="4"/>
        </w:numPr>
        <w:bidi w:val="0"/>
        <w:ind w:left="840" w:leftChars="0" w:hanging="420" w:firstLineChars="0"/>
        <w:rPr>
          <w:rFonts w:hint="eastAsia"/>
        </w:rPr>
      </w:pPr>
      <w:r>
        <w:rPr>
          <w:rFonts w:hint="eastAsia"/>
        </w:rPr>
        <w:t>测试用例与报告（各阶段测试</w:t>
      </w:r>
      <w:r>
        <w:rPr>
          <w:rFonts w:hint="eastAsia"/>
          <w:lang w:val="en-US" w:eastAsia="zh-CN"/>
        </w:rPr>
        <w:t>报告</w:t>
      </w:r>
      <w:r>
        <w:rPr>
          <w:rFonts w:hint="eastAsia"/>
        </w:rPr>
        <w:t>及问题记录）</w:t>
      </w:r>
    </w:p>
    <w:p w14:paraId="774B5748">
      <w:pPr>
        <w:pStyle w:val="3"/>
        <w:numPr>
          <w:ilvl w:val="0"/>
          <w:numId w:val="4"/>
        </w:numPr>
        <w:bidi w:val="0"/>
        <w:ind w:left="840" w:leftChars="0" w:hanging="420" w:firstLineChars="0"/>
        <w:rPr>
          <w:rFonts w:hint="eastAsia"/>
        </w:rPr>
      </w:pPr>
      <w:r>
        <w:rPr>
          <w:rFonts w:hint="eastAsia"/>
        </w:rPr>
        <w:t>版本记录与变更说明</w:t>
      </w:r>
    </w:p>
    <w:p w14:paraId="6BCEC9CE">
      <w:pPr>
        <w:pStyle w:val="3"/>
        <w:numPr>
          <w:ilvl w:val="0"/>
          <w:numId w:val="4"/>
        </w:numPr>
        <w:bidi w:val="0"/>
        <w:ind w:left="840" w:leftChars="0" w:hanging="420" w:firstLineChars="0"/>
        <w:rPr>
          <w:rFonts w:hint="eastAsia"/>
        </w:rPr>
      </w:pPr>
      <w:r>
        <w:rPr>
          <w:rFonts w:hint="eastAsia"/>
        </w:rPr>
        <w:t>量产支持资料（产测流程、产测脚本说明、BOM、操作指引）</w:t>
      </w:r>
    </w:p>
    <w:p w14:paraId="1916429B">
      <w:pPr>
        <w:pStyle w:val="4"/>
        <w:bidi w:val="0"/>
        <w:rPr>
          <w:rFonts w:hint="eastAsia"/>
        </w:rPr>
      </w:pPr>
      <w:r>
        <w:rPr>
          <w:rFonts w:hint="eastAsia"/>
        </w:rPr>
        <w:t>新品评审表单模板</w:t>
      </w:r>
    </w:p>
    <w:tbl>
      <w:tblPr>
        <w:tblW w:w="885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7080"/>
      </w:tblGrid>
      <w:tr w14:paraId="265BB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2BC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7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D05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填写说明</w:t>
            </w:r>
          </w:p>
        </w:tc>
      </w:tr>
      <w:tr w14:paraId="327A0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F324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是否为新品</w:t>
            </w:r>
          </w:p>
        </w:tc>
        <w:tc>
          <w:tcPr>
            <w:tcW w:w="7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8B8B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是/否</w:t>
            </w:r>
          </w:p>
        </w:tc>
      </w:tr>
      <w:tr w14:paraId="54F53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87D5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判定理由</w:t>
            </w:r>
          </w:p>
        </w:tc>
        <w:tc>
          <w:tcPr>
            <w:tcW w:w="7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0F03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根据新品判定标准，说明技术、功能或市场创新点</w:t>
            </w:r>
          </w:p>
        </w:tc>
      </w:tr>
      <w:tr w14:paraId="0FA9E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B170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所属类型</w:t>
            </w:r>
          </w:p>
        </w:tc>
        <w:tc>
          <w:tcPr>
            <w:tcW w:w="7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2CF1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S类/ D类/ X类</w:t>
            </w:r>
          </w:p>
        </w:tc>
      </w:tr>
      <w:tr w14:paraId="51841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7B6B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涉及资源</w:t>
            </w:r>
          </w:p>
        </w:tc>
        <w:tc>
          <w:tcPr>
            <w:tcW w:w="7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3CB0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列出研发、人力、测试、设备等关键资源</w:t>
            </w:r>
          </w:p>
        </w:tc>
      </w:tr>
      <w:tr w14:paraId="2E659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D8FD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拟定里程碑</w:t>
            </w:r>
          </w:p>
        </w:tc>
        <w:tc>
          <w:tcPr>
            <w:tcW w:w="7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FCAA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送样、提测、量产等关键里程碑及预定时间</w:t>
            </w:r>
          </w:p>
        </w:tc>
      </w:tr>
      <w:tr w14:paraId="02ED0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F91B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配套资料清单</w:t>
            </w:r>
          </w:p>
        </w:tc>
        <w:tc>
          <w:tcPr>
            <w:tcW w:w="7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4572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列出项目所需的文档及资料，如需求文档、设计文档、测试报告等</w:t>
            </w:r>
          </w:p>
        </w:tc>
      </w:tr>
    </w:tbl>
    <w:p w14:paraId="731CB200">
      <w:pPr>
        <w:pStyle w:val="3"/>
        <w:bidi w:val="0"/>
        <w:rPr>
          <w:rFonts w:hint="eastAsia"/>
        </w:rPr>
      </w:pPr>
    </w:p>
    <w:p w14:paraId="422CC5B5">
      <w:pPr>
        <w:pStyle w:val="3"/>
        <w:bidi w:val="0"/>
        <w:rPr>
          <w:rFonts w:hint="eastAsia"/>
        </w:rPr>
      </w:pPr>
      <w:r>
        <w:rPr>
          <w:rFonts w:hint="eastAsia"/>
        </w:rPr>
        <w:t>此模板</w:t>
      </w:r>
      <w:r>
        <w:rPr>
          <w:rFonts w:hint="eastAsia"/>
          <w:lang w:val="en-US" w:eastAsia="zh-CN"/>
        </w:rPr>
        <w:t>可</w:t>
      </w:r>
      <w:r>
        <w:rPr>
          <w:rFonts w:hint="eastAsia"/>
        </w:rPr>
        <w:t>用于新品立项评审，为项目规划、管理与评估提供标准化依据。</w:t>
      </w:r>
    </w:p>
    <w:sectPr>
      <w:headerReference r:id="rId3" w:type="default"/>
      <w:footerReference r:id="rId4" w:type="default"/>
      <w:pgSz w:w="11906" w:h="16838"/>
      <w:pgMar w:top="1440" w:right="1417" w:bottom="1440" w:left="1417" w:header="851" w:footer="992" w:gutter="0"/>
      <w:paperSrc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4A8CC4">
    <w:pPr>
      <w:pStyle w:val="11"/>
      <w:keepNext w:val="0"/>
      <w:keepLines w:val="0"/>
      <w:widowControl w:val="0"/>
      <w:suppressLineNumbers w:val="0"/>
      <w:tabs>
        <w:tab w:val="center" w:pos="4420"/>
        <w:tab w:val="right" w:pos="8306"/>
      </w:tabs>
      <w:snapToGrid w:val="0"/>
      <w:spacing w:before="0" w:beforeAutospacing="0" w:after="0" w:afterAutospacing="0" w:line="360" w:lineRule="auto"/>
      <w:ind w:left="0" w:right="0"/>
      <w:jc w:val="left"/>
    </w:pPr>
    <w:r>
      <w:rPr>
        <w:rFonts w:hint="eastAsia" w:ascii="Times New Roman" w:hAnsi="Times New Roman" w:eastAsia="宋体" w:cs="宋体"/>
        <w:bCs/>
        <w:snapToGrid/>
        <w:kern w:val="2"/>
        <w:sz w:val="18"/>
        <w:szCs w:val="20"/>
        <w:lang w:val="en-US" w:eastAsia="zh-CN" w:bidi="ar"/>
      </w:rPr>
      <w:t>中山市乐式物联科技有限公司</w:t>
    </w:r>
    <w:r>
      <w:rPr>
        <w:rFonts w:hint="default" w:ascii="Times New Roman" w:hAnsi="Times New Roman" w:eastAsia="宋体" w:cs="Times New Roman"/>
        <w:snapToGrid/>
        <w:kern w:val="2"/>
        <w:sz w:val="18"/>
        <w:szCs w:val="20"/>
        <w:lang w:val="en-US" w:eastAsia="zh-CN" w:bidi="ar"/>
      </w:rPr>
      <w:t xml:space="preserve">          </w:t>
    </w:r>
    <w:r>
      <w:rPr>
        <w:rFonts w:hint="eastAsia" w:ascii="Times New Roman" w:hAnsi="Times New Roman" w:eastAsia="宋体" w:cs="Times New Roman"/>
        <w:snapToGrid/>
        <w:kern w:val="2"/>
        <w:sz w:val="18"/>
        <w:szCs w:val="20"/>
        <w:lang w:val="en-US" w:eastAsia="zh-CN" w:bidi="ar"/>
      </w:rPr>
      <w:t xml:space="preserve">                                 </w:t>
    </w:r>
    <w:r>
      <w:rPr>
        <w:rFonts w:hint="default" w:ascii="Times New Roman" w:hAnsi="Times New Roman" w:eastAsia="宋体" w:cs="Times New Roman"/>
        <w:snapToGrid/>
        <w:kern w:val="2"/>
        <w:sz w:val="18"/>
        <w:szCs w:val="20"/>
        <w:lang w:val="en-US" w:eastAsia="zh-CN" w:bidi="ar"/>
      </w:rPr>
      <w:t xml:space="preserve">     </w:t>
    </w:r>
    <w:r>
      <w:rPr>
        <w:rFonts w:hint="eastAsia" w:ascii="Times New Roman" w:hAnsi="Times New Roman" w:eastAsia="宋体" w:cs="Times New Roman"/>
        <w:snapToGrid/>
        <w:kern w:val="2"/>
        <w:sz w:val="18"/>
        <w:szCs w:val="20"/>
        <w:lang w:val="en-US" w:eastAsia="zh-CN" w:bidi="ar"/>
      </w:rPr>
      <w:t xml:space="preserve"> </w:t>
    </w:r>
    <w:r>
      <w:rPr>
        <w:rFonts w:hint="default" w:ascii="Times New Roman" w:hAnsi="Times New Roman" w:eastAsia="宋体" w:cs="Times New Roman"/>
        <w:snapToGrid/>
        <w:kern w:val="2"/>
        <w:sz w:val="18"/>
        <w:szCs w:val="20"/>
        <w:lang w:val="en-US" w:eastAsia="zh-CN" w:bidi="ar"/>
      </w:rPr>
      <w:t xml:space="preserve">             </w:t>
    </w:r>
    <w:r>
      <w:rPr>
        <w:rFonts w:hint="eastAsia" w:ascii="Times New Roman" w:hAnsi="Times New Roman" w:eastAsia="宋体" w:cs="宋体"/>
        <w:snapToGrid/>
        <w:kern w:val="2"/>
        <w:sz w:val="18"/>
        <w:szCs w:val="20"/>
        <w:lang w:val="en-US" w:eastAsia="zh-CN" w:bidi="ar"/>
      </w:rPr>
      <w:t>第</w:t>
    </w:r>
    <w:r>
      <w:rPr>
        <w:rStyle w:val="16"/>
        <w:rFonts w:hint="default" w:ascii="Times New Roman" w:hAnsi="Times New Roman" w:eastAsia="宋体" w:cs="Times New Roman"/>
        <w:snapToGrid/>
        <w:kern w:val="2"/>
        <w:sz w:val="18"/>
        <w:szCs w:val="20"/>
        <w:lang w:val="en-US" w:eastAsia="zh-CN" w:bidi="ar"/>
      </w:rPr>
      <w:fldChar w:fldCharType="begin"/>
    </w:r>
    <w:r>
      <w:rPr>
        <w:rStyle w:val="16"/>
        <w:rFonts w:hint="default" w:ascii="Times New Roman" w:hAnsi="Times New Roman" w:eastAsia="宋体" w:cs="Times New Roman"/>
        <w:snapToGrid/>
        <w:kern w:val="2"/>
        <w:sz w:val="18"/>
        <w:szCs w:val="20"/>
        <w:lang w:val="en-US" w:eastAsia="zh-CN" w:bidi="ar"/>
      </w:rPr>
      <w:instrText xml:space="preserve"> PAGE </w:instrText>
    </w:r>
    <w:r>
      <w:rPr>
        <w:rStyle w:val="16"/>
        <w:rFonts w:hint="default" w:ascii="Times New Roman" w:hAnsi="Times New Roman" w:eastAsia="宋体" w:cs="Times New Roman"/>
        <w:snapToGrid/>
        <w:kern w:val="2"/>
        <w:sz w:val="18"/>
        <w:szCs w:val="20"/>
        <w:lang w:val="en-US" w:eastAsia="zh-CN" w:bidi="ar"/>
      </w:rPr>
      <w:fldChar w:fldCharType="separate"/>
    </w:r>
    <w:r>
      <w:rPr>
        <w:rStyle w:val="16"/>
        <w:rFonts w:hint="default" w:ascii="Times New Roman" w:hAnsi="Times New Roman" w:eastAsia="宋体" w:cs="Times New Roman"/>
        <w:snapToGrid/>
        <w:kern w:val="2"/>
        <w:sz w:val="18"/>
        <w:szCs w:val="20"/>
        <w:lang w:val="en-US" w:eastAsia="zh-CN" w:bidi="ar"/>
      </w:rPr>
      <w:t>1</w:t>
    </w:r>
    <w:r>
      <w:rPr>
        <w:rStyle w:val="16"/>
        <w:rFonts w:hint="default" w:ascii="Times New Roman" w:hAnsi="Times New Roman" w:eastAsia="宋体" w:cs="Times New Roman"/>
        <w:snapToGrid/>
        <w:kern w:val="2"/>
        <w:sz w:val="18"/>
        <w:szCs w:val="20"/>
        <w:lang w:val="en-US" w:eastAsia="zh-CN" w:bidi="ar"/>
      </w:rPr>
      <w:fldChar w:fldCharType="end"/>
    </w:r>
    <w:r>
      <w:rPr>
        <w:rStyle w:val="16"/>
        <w:rFonts w:hint="eastAsia" w:ascii="Times New Roman" w:hAnsi="Times New Roman" w:eastAsia="宋体" w:cs="宋体"/>
        <w:snapToGrid/>
        <w:kern w:val="2"/>
        <w:sz w:val="18"/>
        <w:szCs w:val="20"/>
        <w:lang w:val="en-US" w:eastAsia="zh-CN" w:bidi="ar"/>
      </w:rPr>
      <w:t>页</w:t>
    </w:r>
    <w:r>
      <w:rPr>
        <w:rStyle w:val="16"/>
        <w:rFonts w:hint="default" w:ascii="Times New Roman" w:hAnsi="Times New Roman" w:eastAsia="宋体" w:cs="Times New Roman"/>
        <w:snapToGrid/>
        <w:kern w:val="2"/>
        <w:sz w:val="18"/>
        <w:szCs w:val="20"/>
        <w:lang w:val="en-US" w:eastAsia="zh-CN" w:bidi="ar"/>
      </w:rPr>
      <w:t xml:space="preserve"> </w:t>
    </w:r>
    <w:r>
      <w:rPr>
        <w:rStyle w:val="16"/>
        <w:rFonts w:hint="eastAsia" w:ascii="Times New Roman" w:hAnsi="Times New Roman" w:eastAsia="宋体" w:cs="宋体"/>
        <w:snapToGrid/>
        <w:kern w:val="2"/>
        <w:sz w:val="18"/>
        <w:szCs w:val="20"/>
        <w:lang w:val="en-US" w:eastAsia="zh-CN" w:bidi="ar"/>
      </w:rPr>
      <w:t>共</w:t>
    </w:r>
    <w:r>
      <w:rPr>
        <w:rStyle w:val="16"/>
        <w:rFonts w:hint="default" w:ascii="Times New Roman" w:hAnsi="Times New Roman" w:eastAsia="宋体" w:cs="Times New Roman"/>
        <w:snapToGrid/>
        <w:kern w:val="2"/>
        <w:sz w:val="18"/>
        <w:szCs w:val="20"/>
        <w:lang w:val="en-US" w:eastAsia="zh-CN" w:bidi="ar"/>
      </w:rPr>
      <w:fldChar w:fldCharType="begin"/>
    </w:r>
    <w:r>
      <w:rPr>
        <w:rStyle w:val="16"/>
        <w:rFonts w:hint="default" w:ascii="Times New Roman" w:hAnsi="Times New Roman" w:eastAsia="宋体" w:cs="Times New Roman"/>
        <w:snapToGrid/>
        <w:kern w:val="2"/>
        <w:sz w:val="18"/>
        <w:szCs w:val="20"/>
        <w:lang w:val="en-US" w:eastAsia="zh-CN" w:bidi="ar"/>
      </w:rPr>
      <w:instrText xml:space="preserve"> SECTIONPAGES </w:instrText>
    </w:r>
    <w:r>
      <w:rPr>
        <w:rStyle w:val="16"/>
        <w:rFonts w:hint="default" w:ascii="Times New Roman" w:hAnsi="Times New Roman" w:eastAsia="宋体" w:cs="Times New Roman"/>
        <w:snapToGrid/>
        <w:kern w:val="2"/>
        <w:sz w:val="18"/>
        <w:szCs w:val="20"/>
        <w:lang w:val="en-US" w:eastAsia="zh-CN" w:bidi="ar"/>
      </w:rPr>
      <w:fldChar w:fldCharType="separate"/>
    </w:r>
    <w:r>
      <w:rPr>
        <w:rStyle w:val="16"/>
        <w:rFonts w:hint="default" w:ascii="Times New Roman" w:hAnsi="Times New Roman" w:eastAsia="宋体" w:cs="Times New Roman"/>
        <w:snapToGrid/>
        <w:kern w:val="2"/>
        <w:sz w:val="18"/>
        <w:szCs w:val="20"/>
        <w:lang w:val="en-US" w:eastAsia="zh-CN" w:bidi="ar"/>
      </w:rPr>
      <w:t>2</w:t>
    </w:r>
    <w:r>
      <w:rPr>
        <w:rStyle w:val="16"/>
        <w:rFonts w:hint="default" w:ascii="Times New Roman" w:hAnsi="Times New Roman" w:eastAsia="宋体" w:cs="Times New Roman"/>
        <w:snapToGrid/>
        <w:kern w:val="2"/>
        <w:sz w:val="18"/>
        <w:szCs w:val="20"/>
        <w:lang w:val="en-US" w:eastAsia="zh-CN" w:bidi="ar"/>
      </w:rPr>
      <w:fldChar w:fldCharType="end"/>
    </w:r>
    <w:r>
      <w:rPr>
        <w:rStyle w:val="16"/>
        <w:rFonts w:hint="eastAsia" w:ascii="Times New Roman" w:hAnsi="Times New Roman" w:eastAsia="宋体" w:cs="宋体"/>
        <w:snapToGrid/>
        <w:kern w:val="2"/>
        <w:sz w:val="18"/>
        <w:szCs w:val="20"/>
        <w:lang w:val="en-US" w:eastAsia="zh-CN" w:bidi="ar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78CC8">
    <w:pPr>
      <w:pStyle w:val="10"/>
      <w:tabs>
        <w:tab w:val="right" w:pos="9040"/>
        <w:tab w:val="clear" w:pos="8306"/>
      </w:tabs>
      <w:jc w:val="left"/>
      <w:rPr>
        <w:rFonts w:ascii="Times New Roman" w:hAnsi="Times New Roman" w:eastAsia="宋体"/>
      </w:rPr>
    </w:pPr>
    <w:r>
      <w:rPr>
        <w:rFonts w:hint="eastAsia" w:ascii="Times New Roman" w:hAnsi="Times New Roman" w:eastAsia="宋体"/>
      </w:rPr>
      <w:t>乐式</w:t>
    </w:r>
    <w:r>
      <w:rPr>
        <w:rFonts w:ascii="Times New Roman" w:hAnsi="Times New Roman" w:eastAsia="宋体"/>
      </w:rPr>
      <w:t>：正式文档</w:t>
    </w:r>
    <w:r>
      <w:rPr>
        <w:rFonts w:ascii="Times New Roman" w:hAnsi="Times New Roman" w:eastAsia="宋体"/>
      </w:rPr>
      <w:tab/>
    </w:r>
    <w:r>
      <w:rPr>
        <w:rFonts w:ascii="Times New Roman" w:hAnsi="Times New Roman" w:eastAsia="宋体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019317"/>
    <w:multiLevelType w:val="singleLevel"/>
    <w:tmpl w:val="BE01931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393158F9"/>
    <w:multiLevelType w:val="multilevel"/>
    <w:tmpl w:val="393158F9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default" w:ascii="Times New Roman" w:hAnsi="Times New Roman" w:eastAsia="黑体"/>
        <w:sz w:val="32"/>
      </w:rPr>
    </w:lvl>
    <w:lvl w:ilvl="1" w:tentative="0">
      <w:start w:val="1"/>
      <w:numFmt w:val="decimal"/>
      <w:pStyle w:val="4"/>
      <w:lvlText w:val="%1.%2"/>
      <w:lvlJc w:val="left"/>
      <w:pPr>
        <w:ind w:left="567" w:hanging="567"/>
      </w:pPr>
      <w:rPr>
        <w:rFonts w:hint="default" w:ascii="Times New Roman" w:hAnsi="Times New Roman" w:eastAsia="黑体"/>
        <w:sz w:val="28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851"/>
        </w:tabs>
        <w:ind w:left="340" w:hanging="340"/>
      </w:pPr>
      <w:rPr>
        <w:rFonts w:hint="default" w:ascii="Times New Roman" w:hAnsi="Times New Roman" w:eastAsia="黑体"/>
        <w:sz w:val="24"/>
      </w:rPr>
    </w:lvl>
    <w:lvl w:ilvl="3" w:tentative="0">
      <w:start w:val="1"/>
      <w:numFmt w:val="decimal"/>
      <w:pStyle w:val="6"/>
      <w:lvlText w:val="(%4)"/>
      <w:lvlJc w:val="left"/>
      <w:pPr>
        <w:ind w:left="567" w:hanging="142"/>
      </w:pPr>
      <w:rPr>
        <w:rFonts w:hint="default" w:ascii="Times New Roman" w:hAnsi="Times New Roman" w:eastAsia="宋体"/>
        <w:b/>
        <w:i w:val="0"/>
        <w:sz w:val="24"/>
      </w:rPr>
    </w:lvl>
    <w:lvl w:ilvl="4" w:tentative="0">
      <w:start w:val="1"/>
      <w:numFmt w:val="decimal"/>
      <w:pStyle w:val="7"/>
      <w:lvlText w:val="%1.%2.%3.%4.%5"/>
      <w:lvlJc w:val="left"/>
      <w:pPr>
        <w:ind w:left="2552" w:hanging="851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>
    <w:nsid w:val="4D614735"/>
    <w:multiLevelType w:val="singleLevel"/>
    <w:tmpl w:val="4D614735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591E1E72"/>
    <w:multiLevelType w:val="multilevel"/>
    <w:tmpl w:val="591E1E72"/>
    <w:lvl w:ilvl="0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4B114F"/>
    <w:rsid w:val="00217833"/>
    <w:rsid w:val="00490FDE"/>
    <w:rsid w:val="0075041C"/>
    <w:rsid w:val="00933692"/>
    <w:rsid w:val="009401A1"/>
    <w:rsid w:val="00B95C29"/>
    <w:rsid w:val="00C41C4D"/>
    <w:rsid w:val="00D675A2"/>
    <w:rsid w:val="00F17DEE"/>
    <w:rsid w:val="08877C83"/>
    <w:rsid w:val="0B3E7F80"/>
    <w:rsid w:val="144B114F"/>
    <w:rsid w:val="1B982E35"/>
    <w:rsid w:val="1F3644C3"/>
    <w:rsid w:val="1F62660C"/>
    <w:rsid w:val="58B109C7"/>
    <w:rsid w:val="64176BC2"/>
    <w:rsid w:val="67CC7720"/>
    <w:rsid w:val="6F6B33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paragraph" w:styleId="2">
    <w:name w:val="heading 1"/>
    <w:next w:val="3"/>
    <w:link w:val="17"/>
    <w:qFormat/>
    <w:uiPriority w:val="9"/>
    <w:pPr>
      <w:keepNext/>
      <w:keepLines/>
      <w:numPr>
        <w:ilvl w:val="0"/>
        <w:numId w:val="1"/>
      </w:numPr>
      <w:adjustRightInd w:val="0"/>
      <w:snapToGrid w:val="0"/>
      <w:spacing w:before="100" w:beforeAutospacing="1" w:after="100" w:afterAutospacing="1" w:line="360" w:lineRule="auto"/>
      <w:outlineLvl w:val="0"/>
    </w:pPr>
    <w:rPr>
      <w:rFonts w:ascii="Times New Roman" w:hAnsi="Times New Roman" w:eastAsia="黑体"/>
      <w:bCs/>
      <w:kern w:val="44"/>
      <w:sz w:val="32"/>
      <w:szCs w:val="44"/>
      <w:lang w:val="en-US" w:eastAsia="zh-CN" w:bidi="ar-SA"/>
    </w:rPr>
  </w:style>
  <w:style w:type="paragraph" w:styleId="4">
    <w:name w:val="heading 2"/>
    <w:next w:val="3"/>
    <w:link w:val="19"/>
    <w:unhideWhenUsed/>
    <w:qFormat/>
    <w:uiPriority w:val="9"/>
    <w:pPr>
      <w:keepNext/>
      <w:keepLines/>
      <w:numPr>
        <w:ilvl w:val="1"/>
        <w:numId w:val="1"/>
      </w:numPr>
      <w:adjustRightInd w:val="0"/>
      <w:spacing w:before="100" w:beforeAutospacing="1" w:line="360" w:lineRule="auto"/>
      <w:outlineLvl w:val="1"/>
    </w:pPr>
    <w:rPr>
      <w:rFonts w:ascii="Times New Roman" w:hAnsi="Times New Roman" w:eastAsia="黑体"/>
      <w:bCs/>
      <w:kern w:val="2"/>
      <w:sz w:val="24"/>
      <w:szCs w:val="32"/>
      <w:lang w:val="en-US" w:eastAsia="zh-CN" w:bidi="ar-SA"/>
    </w:rPr>
  </w:style>
  <w:style w:type="paragraph" w:styleId="5">
    <w:name w:val="heading 3"/>
    <w:next w:val="3"/>
    <w:link w:val="20"/>
    <w:unhideWhenUsed/>
    <w:qFormat/>
    <w:uiPriority w:val="9"/>
    <w:pPr>
      <w:keepNext/>
      <w:keepLines/>
      <w:numPr>
        <w:ilvl w:val="2"/>
        <w:numId w:val="1"/>
      </w:numPr>
      <w:spacing w:before="100" w:beforeAutospacing="1" w:line="360" w:lineRule="auto"/>
      <w:ind w:left="720" w:hanging="720"/>
      <w:outlineLvl w:val="2"/>
    </w:pPr>
    <w:rPr>
      <w:rFonts w:eastAsia="黑体"/>
      <w:bCs/>
      <w:kern w:val="2"/>
      <w:sz w:val="24"/>
      <w:szCs w:val="32"/>
      <w:lang w:val="en-US" w:eastAsia="zh-CN" w:bidi="ar-SA"/>
    </w:rPr>
  </w:style>
  <w:style w:type="paragraph" w:styleId="6">
    <w:name w:val="heading 4"/>
    <w:basedOn w:val="1"/>
    <w:next w:val="1"/>
    <w:link w:val="21"/>
    <w:unhideWhenUsed/>
    <w:qFormat/>
    <w:uiPriority w:val="9"/>
    <w:pPr>
      <w:keepNext/>
      <w:keepLines/>
      <w:numPr>
        <w:ilvl w:val="3"/>
        <w:numId w:val="1"/>
      </w:numPr>
      <w:adjustRightInd w:val="0"/>
      <w:spacing w:before="100" w:beforeAutospacing="1" w:line="360" w:lineRule="auto"/>
      <w:ind w:left="992" w:hanging="567"/>
      <w:outlineLvl w:val="3"/>
    </w:pPr>
    <w:rPr>
      <w:rFonts w:ascii="Times New Roman" w:hAnsi="Times New Roman" w:eastAsia="宋体" w:cs="Times New Roman"/>
      <w:b/>
      <w:bCs/>
      <w:sz w:val="24"/>
      <w:szCs w:val="28"/>
    </w:rPr>
  </w:style>
  <w:style w:type="paragraph" w:styleId="7">
    <w:name w:val="heading 5"/>
    <w:basedOn w:val="1"/>
    <w:next w:val="1"/>
    <w:link w:val="2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4">
    <w:name w:val="Default Paragraph Font"/>
    <w:unhideWhenUsed/>
    <w:uiPriority w:val="1"/>
  </w:style>
  <w:style w:type="table" w:default="1" w:styleId="12">
    <w:name w:val="Normal Table"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Style w:val="12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文档正文"/>
    <w:link w:val="18"/>
    <w:qFormat/>
    <w:uiPriority w:val="0"/>
    <w:pPr>
      <w:adjustRightInd w:val="0"/>
      <w:spacing w:line="360" w:lineRule="auto"/>
      <w:ind w:firstLine="200" w:firstLineChars="200"/>
    </w:pPr>
    <w:rPr>
      <w:rFonts w:ascii="Times New Roman" w:hAnsi="Times New Roman" w:eastAsia="宋体"/>
      <w:kern w:val="2"/>
      <w:sz w:val="24"/>
      <w:szCs w:val="22"/>
      <w:lang w:val="en-US" w:eastAsia="zh-CN" w:bidi="ar-SA"/>
    </w:rPr>
  </w:style>
  <w:style w:type="paragraph" w:styleId="8">
    <w:name w:val="caption"/>
    <w:basedOn w:val="1"/>
    <w:next w:val="1"/>
    <w:unhideWhenUsed/>
    <w:qFormat/>
    <w:uiPriority w:val="35"/>
    <w:rPr>
      <w:rFonts w:ascii="等线 Light" w:hAnsi="等线 Light" w:eastAsia="黑体" w:cs="Times New Roman"/>
      <w:sz w:val="20"/>
      <w:szCs w:val="20"/>
    </w:rPr>
  </w:style>
  <w:style w:type="paragraph" w:styleId="9">
    <w:name w:val="footer"/>
    <w:basedOn w:val="1"/>
    <w:link w:val="2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Normal (Web)"/>
    <w:basedOn w:val="1"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page number"/>
    <w:basedOn w:val="14"/>
    <w:unhideWhenUsed/>
    <w:uiPriority w:val="99"/>
  </w:style>
  <w:style w:type="character" w:customStyle="1" w:styleId="17">
    <w:name w:val="标题 1 字符"/>
    <w:link w:val="2"/>
    <w:uiPriority w:val="9"/>
    <w:rPr>
      <w:rFonts w:ascii="Times New Roman" w:hAnsi="Times New Roman" w:eastAsia="黑体"/>
      <w:bCs/>
      <w:kern w:val="44"/>
      <w:sz w:val="32"/>
      <w:szCs w:val="44"/>
    </w:rPr>
  </w:style>
  <w:style w:type="character" w:customStyle="1" w:styleId="18">
    <w:name w:val="文档正文 字符"/>
    <w:link w:val="3"/>
    <w:uiPriority w:val="0"/>
    <w:rPr>
      <w:rFonts w:ascii="Times New Roman" w:hAnsi="Times New Roman" w:eastAsia="宋体"/>
      <w:kern w:val="2"/>
      <w:sz w:val="24"/>
      <w:szCs w:val="22"/>
    </w:rPr>
  </w:style>
  <w:style w:type="character" w:customStyle="1" w:styleId="19">
    <w:name w:val="标题 2 字符"/>
    <w:link w:val="4"/>
    <w:uiPriority w:val="9"/>
    <w:rPr>
      <w:rFonts w:ascii="Times New Roman" w:hAnsi="Times New Roman" w:eastAsia="黑体" w:cs="Times New Roman"/>
      <w:bCs/>
      <w:kern w:val="2"/>
      <w:sz w:val="24"/>
      <w:szCs w:val="32"/>
    </w:rPr>
  </w:style>
  <w:style w:type="character" w:customStyle="1" w:styleId="20">
    <w:name w:val="标题 3 字符"/>
    <w:link w:val="5"/>
    <w:uiPriority w:val="9"/>
    <w:rPr>
      <w:rFonts w:eastAsia="黑体"/>
      <w:bCs/>
      <w:kern w:val="2"/>
      <w:sz w:val="24"/>
      <w:szCs w:val="32"/>
    </w:rPr>
  </w:style>
  <w:style w:type="character" w:customStyle="1" w:styleId="21">
    <w:name w:val="标题 4 字符"/>
    <w:link w:val="6"/>
    <w:uiPriority w:val="9"/>
    <w:rPr>
      <w:rFonts w:ascii="Times New Roman" w:hAnsi="Times New Roman" w:eastAsia="宋体" w:cs="Times New Roman"/>
      <w:b/>
      <w:bCs/>
      <w:kern w:val="2"/>
      <w:sz w:val="24"/>
      <w:szCs w:val="28"/>
    </w:rPr>
  </w:style>
  <w:style w:type="character" w:customStyle="1" w:styleId="22">
    <w:name w:val="标题 5 字符"/>
    <w:link w:val="7"/>
    <w:semiHidden/>
    <w:uiPriority w:val="9"/>
    <w:rPr>
      <w:b/>
      <w:bCs/>
      <w:kern w:val="2"/>
      <w:sz w:val="28"/>
      <w:szCs w:val="28"/>
    </w:rPr>
  </w:style>
  <w:style w:type="character" w:customStyle="1" w:styleId="23">
    <w:name w:val="页脚 字符"/>
    <w:link w:val="9"/>
    <w:uiPriority w:val="99"/>
    <w:rPr>
      <w:kern w:val="2"/>
      <w:sz w:val="18"/>
      <w:szCs w:val="18"/>
    </w:rPr>
  </w:style>
  <w:style w:type="character" w:customStyle="1" w:styleId="24">
    <w:name w:val="页眉 字符"/>
    <w:link w:val="10"/>
    <w:uiPriority w:val="99"/>
    <w:rPr>
      <w:kern w:val="2"/>
      <w:sz w:val="18"/>
      <w:szCs w:val="18"/>
    </w:rPr>
  </w:style>
  <w:style w:type="character" w:customStyle="1" w:styleId="25">
    <w:name w:val="文档正文 Char"/>
    <w:uiPriority w:val="0"/>
    <w:rPr>
      <w:rFonts w:eastAsia="宋体" w:cs="宋体"/>
      <w:snapToGrid w:val="0"/>
      <w:kern w:val="2"/>
      <w:sz w:val="24"/>
      <w:lang w:val="en-US" w:eastAsia="zh-CN" w:bidi="ar-SA"/>
    </w:rPr>
  </w:style>
  <w:style w:type="paragraph" w:customStyle="1" w:styleId="26">
    <w:name w:val="公式分章右标注"/>
    <w:basedOn w:val="3"/>
    <w:next w:val="3"/>
    <w:uiPriority w:val="0"/>
    <w:pPr>
      <w:widowControl w:val="0"/>
      <w:wordWrap w:val="0"/>
      <w:adjustRightInd/>
      <w:snapToGrid w:val="0"/>
      <w:spacing w:line="360" w:lineRule="auto"/>
      <w:ind w:firstLine="480"/>
      <w:jc w:val="right"/>
    </w:pPr>
    <w:rPr>
      <w:rFonts w:cs="宋体"/>
      <w:snapToGrid w:val="0"/>
      <w:sz w:val="24"/>
      <w:szCs w:val="20"/>
      <w:lang w:val="fr-FR"/>
    </w:rPr>
  </w:style>
  <w:style w:type="paragraph" w:customStyle="1" w:styleId="27">
    <w:name w:val="公式分章左标注"/>
    <w:basedOn w:val="3"/>
    <w:next w:val="3"/>
    <w:uiPriority w:val="0"/>
    <w:pPr>
      <w:widowControl w:val="0"/>
      <w:adjustRightInd/>
      <w:snapToGrid w:val="0"/>
      <w:spacing w:line="360" w:lineRule="auto"/>
      <w:ind w:firstLine="480"/>
      <w:jc w:val="both"/>
    </w:pPr>
    <w:rPr>
      <w:rFonts w:cs="宋体"/>
      <w:snapToGrid w:val="0"/>
      <w:sz w:val="24"/>
      <w:szCs w:val="20"/>
      <w:lang w:val="fr-FR"/>
    </w:rPr>
  </w:style>
  <w:style w:type="paragraph" w:customStyle="1" w:styleId="28">
    <w:name w:val="MTDisplayEquation"/>
    <w:basedOn w:val="3"/>
    <w:next w:val="1"/>
    <w:uiPriority w:val="0"/>
    <w:pPr>
      <w:widowControl w:val="0"/>
      <w:tabs>
        <w:tab w:val="center" w:pos="4680"/>
        <w:tab w:val="right" w:pos="9360"/>
      </w:tabs>
      <w:adjustRightInd/>
      <w:snapToGrid w:val="0"/>
      <w:ind w:firstLine="480"/>
      <w:jc w:val="both"/>
    </w:pPr>
    <w:rPr>
      <w:rFonts w:cs="宋体"/>
      <w:snapToGrid w:val="0"/>
      <w:szCs w:val="20"/>
      <w:lang w:val="fr-FR"/>
    </w:rPr>
  </w:style>
  <w:style w:type="paragraph" w:customStyle="1" w:styleId="29">
    <w:name w:val="图表不分章题注"/>
    <w:basedOn w:val="8"/>
    <w:uiPriority w:val="0"/>
    <w:pPr>
      <w:snapToGrid w:val="0"/>
      <w:spacing w:line="360" w:lineRule="auto"/>
      <w:jc w:val="center"/>
    </w:pPr>
    <w:rPr>
      <w:rFonts w:ascii="Times New Roman" w:hAnsi="Times New Roman" w:cs="宋体"/>
      <w:snapToGrid w:val="0"/>
      <w:sz w:val="21"/>
    </w:rPr>
  </w:style>
  <w:style w:type="paragraph" w:customStyle="1" w:styleId="30">
    <w:name w:val="表格不分章题注"/>
    <w:basedOn w:val="8"/>
    <w:uiPriority w:val="0"/>
    <w:pPr>
      <w:snapToGrid w:val="0"/>
      <w:spacing w:line="360" w:lineRule="auto"/>
      <w:jc w:val="center"/>
    </w:pPr>
    <w:rPr>
      <w:rFonts w:ascii="Times New Roman" w:hAnsi="Times New Roman" w:cs="宋体"/>
      <w:snapToGrid w:val="0"/>
      <w:sz w:val="21"/>
    </w:rPr>
  </w:style>
  <w:style w:type="paragraph" w:customStyle="1" w:styleId="31">
    <w:name w:val="文档首页作者栏"/>
    <w:basedOn w:val="1"/>
    <w:uiPriority w:val="0"/>
    <w:pPr>
      <w:snapToGrid w:val="0"/>
      <w:spacing w:before="312" w:beforeLines="100" w:after="468" w:afterLines="150" w:line="360" w:lineRule="auto"/>
      <w:jc w:val="center"/>
    </w:pPr>
    <w:rPr>
      <w:rFonts w:ascii="宋体" w:hAnsi="宋体" w:eastAsia="宋体" w:cs="宋体"/>
      <w:snapToGrid w:val="0"/>
      <w:sz w:val="24"/>
      <w:szCs w:val="72"/>
    </w:rPr>
  </w:style>
  <w:style w:type="paragraph" w:customStyle="1" w:styleId="32">
    <w:name w:val="文档标题"/>
    <w:uiPriority w:val="0"/>
    <w:pPr>
      <w:adjustRightInd w:val="0"/>
      <w:snapToGrid w:val="0"/>
      <w:spacing w:before="100" w:beforeLines="100" w:after="150" w:afterLines="150"/>
      <w:jc w:val="center"/>
    </w:pPr>
    <w:rPr>
      <w:rFonts w:ascii="Times New Roman" w:hAnsi="Times New Roman" w:eastAsia="宋体" w:cs="宋体"/>
      <w:b/>
      <w:bCs/>
      <w:snapToGrid w:val="0"/>
      <w:kern w:val="2"/>
      <w:sz w:val="5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0-&#20048;&#24335;\T-Lelight%20Template\Lelight-TPL0-&#20048;&#24335;&#24037;&#20316;&#25991;&#26723;&#26631;&#20934;&#27169;&#26495;&#12304;WPS&#29256;&#12305;-20240214-0-maixh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Lelight-TPL0-乐式工作文档标准模板【WPS版】-20240214-0-maixh.wpt</Template>
  <Pages>4</Pages>
  <Words>178</Words>
  <Characters>206</Characters>
  <Lines>9</Lines>
  <Paragraphs>2</Paragraphs>
  <TotalTime>0</TotalTime>
  <ScaleCrop>false</ScaleCrop>
  <LinksUpToDate>false</LinksUpToDate>
  <CharactersWithSpaces>217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2025-05-07T06:12:00Z</dcterms:created>
  <dc:creator>maizi</dc:creator>
  <cp:lastModifiedBy>maizi</cp:lastModifiedBy>
  <dcterms:modified xsi:type="dcterms:W3CDTF">2025-05-07T07:47:25Z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CD1FACA562144B4E9CF4816BBF097325_11</vt:lpwstr>
  </property>
  <property fmtid="{D5CDD505-2E9C-101B-9397-08002B2CF9AE}" pid="4" name="KSOTemplateDocerSaveRecord">
    <vt:lpwstr>eyJoZGlkIjoiNjEzZmJmM2VkOTk4ODVkNTMxZTM5NDQ1ZDgzMTAxMjQiLCJ1c2VySWQiOiI0MjEwOTU5NDQifQ==</vt:lpwstr>
  </property>
</Properties>
</file>