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097C2" w14:textId="6D1E886F" w:rsidR="00A14F2D" w:rsidRPr="00B934A7" w:rsidRDefault="009A18BA">
      <w:pPr>
        <w:rPr>
          <w:b/>
          <w:bCs/>
          <w:sz w:val="28"/>
          <w:szCs w:val="28"/>
        </w:rPr>
      </w:pPr>
      <w:r w:rsidRPr="00B934A7">
        <w:rPr>
          <w:b/>
          <w:bCs/>
          <w:sz w:val="28"/>
          <w:szCs w:val="28"/>
        </w:rPr>
        <w:t>6.1 Sourcing Open Data</w:t>
      </w:r>
    </w:p>
    <w:p w14:paraId="5665BF11" w14:textId="77777777" w:rsidR="009A18BA" w:rsidRPr="00B934A7" w:rsidRDefault="009A18BA">
      <w:pPr>
        <w:rPr>
          <w:b/>
          <w:bCs/>
          <w:sz w:val="28"/>
          <w:szCs w:val="28"/>
        </w:rPr>
      </w:pPr>
    </w:p>
    <w:p w14:paraId="212FE95C" w14:textId="39124346" w:rsidR="009A18BA" w:rsidRPr="00B934A7" w:rsidRDefault="009A18BA">
      <w:pPr>
        <w:rPr>
          <w:b/>
          <w:bCs/>
          <w:sz w:val="28"/>
          <w:szCs w:val="28"/>
          <w:u w:val="single"/>
        </w:rPr>
      </w:pPr>
      <w:r w:rsidRPr="00B934A7">
        <w:rPr>
          <w:b/>
          <w:bCs/>
          <w:sz w:val="28"/>
          <w:szCs w:val="28"/>
          <w:u w:val="single"/>
        </w:rPr>
        <w:t>Data Source</w:t>
      </w:r>
    </w:p>
    <w:p w14:paraId="280158E8" w14:textId="40267B77" w:rsidR="009A18BA" w:rsidRPr="00B934A7" w:rsidRDefault="009A18BA">
      <w:pPr>
        <w:rPr>
          <w:sz w:val="28"/>
          <w:szCs w:val="28"/>
        </w:rPr>
      </w:pPr>
      <w:r w:rsidRPr="00B934A7">
        <w:rPr>
          <w:sz w:val="28"/>
          <w:szCs w:val="28"/>
        </w:rPr>
        <w:t>Global Financial Inclusion (Global Findex) Database 2021</w:t>
      </w:r>
    </w:p>
    <w:p w14:paraId="2C35F670" w14:textId="11F7CF73" w:rsidR="009A18BA" w:rsidRPr="00B934A7" w:rsidRDefault="009A18BA">
      <w:pPr>
        <w:rPr>
          <w:sz w:val="28"/>
          <w:szCs w:val="28"/>
        </w:rPr>
      </w:pPr>
      <w:r w:rsidRPr="00B934A7">
        <w:rPr>
          <w:sz w:val="28"/>
          <w:szCs w:val="28"/>
        </w:rPr>
        <w:t>Microdata from the World Bank</w:t>
      </w:r>
    </w:p>
    <w:p w14:paraId="68339981" w14:textId="77777777" w:rsidR="009A18BA" w:rsidRPr="00B934A7" w:rsidRDefault="009A18BA">
      <w:pPr>
        <w:rPr>
          <w:sz w:val="28"/>
          <w:szCs w:val="28"/>
        </w:rPr>
      </w:pPr>
    </w:p>
    <w:p w14:paraId="1197803F" w14:textId="77777777" w:rsidR="00756FDE" w:rsidRPr="00B934A7" w:rsidRDefault="00756FDE">
      <w:pPr>
        <w:rPr>
          <w:b/>
          <w:bCs/>
          <w:sz w:val="28"/>
          <w:szCs w:val="28"/>
          <w:u w:val="single"/>
        </w:rPr>
      </w:pPr>
      <w:r w:rsidRPr="00B934A7">
        <w:rPr>
          <w:b/>
          <w:bCs/>
          <w:sz w:val="28"/>
          <w:szCs w:val="28"/>
          <w:u w:val="single"/>
        </w:rPr>
        <w:t>Data Sourcing &amp; Collection</w:t>
      </w:r>
    </w:p>
    <w:p w14:paraId="7686B8B0" w14:textId="65DC2AC8" w:rsidR="00756FDE" w:rsidRPr="00B934A7" w:rsidRDefault="007C1B91">
      <w:pPr>
        <w:rPr>
          <w:sz w:val="28"/>
          <w:szCs w:val="28"/>
          <w:u w:val="single"/>
        </w:rPr>
      </w:pPr>
      <w:r w:rsidRPr="00B934A7">
        <w:rPr>
          <w:sz w:val="28"/>
          <w:szCs w:val="28"/>
        </w:rPr>
        <w:t>Open data</w:t>
      </w:r>
      <w:r w:rsidR="001A4309" w:rsidRPr="00B934A7">
        <w:rPr>
          <w:sz w:val="28"/>
          <w:szCs w:val="28"/>
        </w:rPr>
        <w:t xml:space="preserve"> </w:t>
      </w:r>
      <w:r w:rsidR="00232120" w:rsidRPr="00B934A7">
        <w:rPr>
          <w:sz w:val="28"/>
          <w:szCs w:val="28"/>
        </w:rPr>
        <w:t xml:space="preserve">provided by the World Bank </w:t>
      </w:r>
      <w:r w:rsidR="001A4309" w:rsidRPr="00B934A7">
        <w:rPr>
          <w:sz w:val="28"/>
          <w:szCs w:val="28"/>
        </w:rPr>
        <w:t xml:space="preserve">made up of external data </w:t>
      </w:r>
      <w:r w:rsidR="000179B2" w:rsidRPr="00B934A7">
        <w:rPr>
          <w:sz w:val="28"/>
          <w:szCs w:val="28"/>
        </w:rPr>
        <w:t xml:space="preserve">collected from national representative surveys of almost 145,000 adults in </w:t>
      </w:r>
      <w:r w:rsidR="000179B2" w:rsidRPr="00B934A7">
        <w:rPr>
          <w:sz w:val="28"/>
          <w:szCs w:val="28"/>
          <w:u w:val="single"/>
        </w:rPr>
        <w:t>139 economies</w:t>
      </w:r>
      <w:r w:rsidR="00232120" w:rsidRPr="00B934A7">
        <w:rPr>
          <w:sz w:val="28"/>
          <w:szCs w:val="28"/>
          <w:u w:val="single"/>
        </w:rPr>
        <w:t xml:space="preserve"> </w:t>
      </w:r>
      <w:r w:rsidR="00232120" w:rsidRPr="00B934A7">
        <w:rPr>
          <w:rFonts w:ascii="Roboto" w:hAnsi="Roboto"/>
          <w:color w:val="333333"/>
          <w:sz w:val="28"/>
          <w:szCs w:val="28"/>
          <w:u w:val="single"/>
          <w:shd w:val="clear" w:color="auto" w:fill="FFFFFF"/>
        </w:rPr>
        <w:t>representing 97 percent of the world’s population.</w:t>
      </w:r>
    </w:p>
    <w:p w14:paraId="3045F779" w14:textId="77777777" w:rsidR="00381B50" w:rsidRPr="00B934A7" w:rsidRDefault="00381B50">
      <w:pPr>
        <w:rPr>
          <w:sz w:val="28"/>
          <w:szCs w:val="28"/>
        </w:rPr>
      </w:pPr>
    </w:p>
    <w:p w14:paraId="1B2D35BE" w14:textId="68093AA3" w:rsidR="00CA60FA" w:rsidRPr="009B5AA3" w:rsidRDefault="00756FDE">
      <w:pPr>
        <w:rPr>
          <w:rFonts w:cstheme="minorHAnsi"/>
          <w:color w:val="333333"/>
          <w:sz w:val="28"/>
          <w:szCs w:val="28"/>
          <w:shd w:val="clear" w:color="auto" w:fill="FFFFFF"/>
        </w:rPr>
      </w:pPr>
      <w:r w:rsidRPr="009B5AA3">
        <w:rPr>
          <w:rFonts w:cstheme="minorHAnsi"/>
          <w:color w:val="333333"/>
          <w:sz w:val="28"/>
          <w:szCs w:val="28"/>
          <w:shd w:val="clear" w:color="auto" w:fill="FFFFFF"/>
        </w:rPr>
        <w:t>In most developing economies, Global Findex data have traditionally been collected through face-to-face interviews</w:t>
      </w:r>
      <w:r w:rsidR="00CA60FA" w:rsidRPr="009B5AA3">
        <w:rPr>
          <w:rFonts w:cstheme="minorHAnsi"/>
          <w:color w:val="333333"/>
          <w:sz w:val="28"/>
          <w:szCs w:val="28"/>
          <w:shd w:val="clear" w:color="auto" w:fill="FFFFFF"/>
        </w:rPr>
        <w:t>.</w:t>
      </w:r>
    </w:p>
    <w:p w14:paraId="70CD63C1" w14:textId="77777777" w:rsidR="00B934A7" w:rsidRPr="00B934A7" w:rsidRDefault="00B934A7" w:rsidP="00B934A7">
      <w:pPr>
        <w:pStyle w:val="ListParagraph"/>
        <w:ind w:left="360"/>
        <w:rPr>
          <w:rFonts w:cstheme="minorHAnsi"/>
          <w:color w:val="333333"/>
          <w:shd w:val="clear" w:color="auto" w:fill="FFFFFF"/>
        </w:rPr>
      </w:pPr>
    </w:p>
    <w:p w14:paraId="47225A79" w14:textId="1E6DAE88" w:rsidR="00FB3D6F" w:rsidRPr="00B934A7" w:rsidRDefault="00CA60FA" w:rsidP="00CA60FA">
      <w:pPr>
        <w:pStyle w:val="ListParagraph"/>
        <w:numPr>
          <w:ilvl w:val="0"/>
          <w:numId w:val="4"/>
        </w:numPr>
        <w:rPr>
          <w:rFonts w:cstheme="minorHAnsi"/>
          <w:color w:val="333333"/>
          <w:shd w:val="clear" w:color="auto" w:fill="FFFFFF"/>
        </w:rPr>
      </w:pPr>
      <w:r w:rsidRPr="00B934A7">
        <w:rPr>
          <w:rFonts w:cstheme="minorHAnsi"/>
          <w:color w:val="333333"/>
          <w:shd w:val="clear" w:color="auto" w:fill="FFFFFF"/>
        </w:rPr>
        <w:t>I</w:t>
      </w:r>
      <w:r w:rsidR="00756FDE" w:rsidRPr="00B934A7">
        <w:rPr>
          <w:rFonts w:cstheme="minorHAnsi"/>
          <w:color w:val="333333"/>
          <w:shd w:val="clear" w:color="auto" w:fill="FFFFFF"/>
        </w:rPr>
        <w:t xml:space="preserve">n economies where telephone coverage represents less than 80 percent of the population or where in-person surveying is the customary methodology. </w:t>
      </w:r>
    </w:p>
    <w:p w14:paraId="6C60EE09" w14:textId="77777777" w:rsidR="00FB3D6F" w:rsidRPr="00B934A7" w:rsidRDefault="00FB3D6F">
      <w:pPr>
        <w:rPr>
          <w:rFonts w:cstheme="minorHAnsi"/>
          <w:color w:val="333333"/>
          <w:shd w:val="clear" w:color="auto" w:fill="FFFFFF"/>
        </w:rPr>
      </w:pPr>
    </w:p>
    <w:p w14:paraId="0591D9BC" w14:textId="77777777" w:rsidR="00FB3D6F" w:rsidRPr="00B934A7" w:rsidRDefault="00756FDE" w:rsidP="00CA60FA">
      <w:pPr>
        <w:pStyle w:val="ListParagraph"/>
        <w:numPr>
          <w:ilvl w:val="0"/>
          <w:numId w:val="2"/>
        </w:numPr>
        <w:rPr>
          <w:rFonts w:cstheme="minorHAnsi"/>
          <w:i/>
          <w:iCs/>
          <w:color w:val="333333"/>
          <w:shd w:val="clear" w:color="auto" w:fill="FFFFFF"/>
        </w:rPr>
      </w:pPr>
      <w:r w:rsidRPr="00B934A7">
        <w:rPr>
          <w:rFonts w:cstheme="minorHAnsi"/>
          <w:i/>
          <w:iCs/>
          <w:color w:val="333333"/>
          <w:shd w:val="clear" w:color="auto" w:fill="FFFFFF"/>
        </w:rPr>
        <w:t xml:space="preserve">However, because of ongoing COVID-19–related mobility restrictions, face-to-face interviewing was not possible in some of these economies in 2021. </w:t>
      </w:r>
    </w:p>
    <w:p w14:paraId="7CEFEBF2" w14:textId="77777777" w:rsidR="00FB3D6F" w:rsidRPr="00B934A7" w:rsidRDefault="00FB3D6F">
      <w:pPr>
        <w:rPr>
          <w:rFonts w:cstheme="minorHAnsi"/>
          <w:color w:val="333333"/>
          <w:shd w:val="clear" w:color="auto" w:fill="FFFFFF"/>
        </w:rPr>
      </w:pPr>
    </w:p>
    <w:p w14:paraId="40F9C5C1" w14:textId="475AAEC7" w:rsidR="00756FDE" w:rsidRPr="00B934A7" w:rsidRDefault="00756FDE" w:rsidP="00CA60FA">
      <w:pPr>
        <w:pStyle w:val="ListParagraph"/>
        <w:numPr>
          <w:ilvl w:val="0"/>
          <w:numId w:val="2"/>
        </w:numPr>
        <w:rPr>
          <w:rFonts w:cstheme="minorHAnsi"/>
          <w:i/>
          <w:iCs/>
          <w:color w:val="333333"/>
          <w:shd w:val="clear" w:color="auto" w:fill="FFFFFF"/>
        </w:rPr>
      </w:pPr>
      <w:r w:rsidRPr="00B934A7">
        <w:rPr>
          <w:rFonts w:cstheme="minorHAnsi"/>
          <w:i/>
          <w:iCs/>
          <w:color w:val="333333"/>
          <w:shd w:val="clear" w:color="auto" w:fill="FFFFFF"/>
        </w:rPr>
        <w:t>Phone-based surveys were therefore conducted in 67 economies that had been surveyed face-to-face in 2017</w:t>
      </w:r>
      <w:r w:rsidR="00381B50" w:rsidRPr="00B934A7">
        <w:rPr>
          <w:rFonts w:cstheme="minorHAnsi"/>
          <w:i/>
          <w:iCs/>
          <w:color w:val="333333"/>
          <w:shd w:val="clear" w:color="auto" w:fill="FFFFFF"/>
        </w:rPr>
        <w:t>.</w:t>
      </w:r>
    </w:p>
    <w:p w14:paraId="114E2A25" w14:textId="77777777" w:rsidR="00756FDE" w:rsidRPr="00B934A7" w:rsidRDefault="00756FDE">
      <w:pPr>
        <w:rPr>
          <w:rFonts w:cstheme="minorHAnsi"/>
          <w:color w:val="333333"/>
          <w:shd w:val="clear" w:color="auto" w:fill="FFFFFF"/>
        </w:rPr>
      </w:pPr>
    </w:p>
    <w:p w14:paraId="73E7E016" w14:textId="018BE730" w:rsidR="00FB3D6F" w:rsidRPr="009B5AA3" w:rsidRDefault="00756FDE">
      <w:pPr>
        <w:rPr>
          <w:rFonts w:cstheme="minorHAnsi"/>
          <w:color w:val="333333"/>
          <w:sz w:val="28"/>
          <w:szCs w:val="28"/>
          <w:shd w:val="clear" w:color="auto" w:fill="FFFFFF"/>
        </w:rPr>
      </w:pPr>
      <w:r w:rsidRPr="009B5AA3">
        <w:rPr>
          <w:rFonts w:cstheme="minorHAnsi"/>
          <w:color w:val="333333"/>
          <w:sz w:val="28"/>
          <w:szCs w:val="28"/>
          <w:shd w:val="clear" w:color="auto" w:fill="FFFFFF"/>
        </w:rPr>
        <w:t xml:space="preserve">In economies where face-to-face surveys are conducted, the first stage of sampling is the identification of primary sampling units. </w:t>
      </w:r>
    </w:p>
    <w:p w14:paraId="74B74B49" w14:textId="77777777" w:rsidR="00B934A7" w:rsidRPr="00B934A7" w:rsidRDefault="00B934A7" w:rsidP="00B934A7">
      <w:pPr>
        <w:rPr>
          <w:rFonts w:cstheme="minorHAnsi"/>
          <w:i/>
          <w:iCs/>
          <w:color w:val="333333"/>
          <w:shd w:val="clear" w:color="auto" w:fill="FFFFFF"/>
        </w:rPr>
      </w:pPr>
    </w:p>
    <w:p w14:paraId="194B926D" w14:textId="010D425B" w:rsidR="00CA60FA" w:rsidRPr="00B934A7" w:rsidRDefault="00756FDE" w:rsidP="00CA60FA">
      <w:pPr>
        <w:pStyle w:val="ListParagraph"/>
        <w:numPr>
          <w:ilvl w:val="0"/>
          <w:numId w:val="3"/>
        </w:numPr>
        <w:rPr>
          <w:rFonts w:cstheme="minorHAnsi"/>
          <w:i/>
          <w:iCs/>
          <w:color w:val="333333"/>
          <w:shd w:val="clear" w:color="auto" w:fill="FFFFFF"/>
        </w:rPr>
      </w:pPr>
      <w:r w:rsidRPr="00B934A7">
        <w:rPr>
          <w:rFonts w:cstheme="minorHAnsi"/>
          <w:i/>
          <w:iCs/>
          <w:color w:val="333333"/>
          <w:shd w:val="clear" w:color="auto" w:fill="FFFFFF"/>
        </w:rPr>
        <w:t xml:space="preserve">These units are stratified by population size, geography, or both, and clustering is achieved through one or more stages of sampling. </w:t>
      </w:r>
    </w:p>
    <w:p w14:paraId="5A1A05AD" w14:textId="77777777" w:rsidR="00CA60FA" w:rsidRPr="00B934A7" w:rsidRDefault="00CA60FA">
      <w:pPr>
        <w:rPr>
          <w:rFonts w:cstheme="minorHAnsi"/>
          <w:i/>
          <w:iCs/>
          <w:color w:val="333333"/>
          <w:shd w:val="clear" w:color="auto" w:fill="FFFFFF"/>
        </w:rPr>
      </w:pPr>
    </w:p>
    <w:p w14:paraId="0072A132" w14:textId="033D19F9" w:rsidR="00756FDE" w:rsidRPr="00B934A7" w:rsidRDefault="00756FDE" w:rsidP="00CA60FA">
      <w:pPr>
        <w:pStyle w:val="ListParagraph"/>
        <w:numPr>
          <w:ilvl w:val="0"/>
          <w:numId w:val="3"/>
        </w:numPr>
        <w:rPr>
          <w:rFonts w:cstheme="minorHAnsi"/>
          <w:i/>
          <w:iCs/>
          <w:color w:val="333333"/>
          <w:shd w:val="clear" w:color="auto" w:fill="FFFFFF"/>
        </w:rPr>
      </w:pPr>
      <w:r w:rsidRPr="00B934A7">
        <w:rPr>
          <w:rFonts w:cstheme="minorHAnsi"/>
          <w:i/>
          <w:iCs/>
          <w:color w:val="333333"/>
          <w:shd w:val="clear" w:color="auto" w:fill="FFFFFF"/>
        </w:rPr>
        <w:t>Where population information is available, sample selection is based on probabilities proportional to population size; otherwise, simple random sampling is used.</w:t>
      </w:r>
      <w:r w:rsidRPr="00B934A7">
        <w:rPr>
          <w:rStyle w:val="apple-converted-space"/>
          <w:rFonts w:cstheme="minorHAnsi"/>
          <w:i/>
          <w:iCs/>
          <w:color w:val="333333"/>
          <w:shd w:val="clear" w:color="auto" w:fill="FFFFFF"/>
        </w:rPr>
        <w:t> </w:t>
      </w:r>
    </w:p>
    <w:p w14:paraId="4845BEF5" w14:textId="77777777" w:rsidR="00756FDE" w:rsidRPr="00B934A7" w:rsidRDefault="00756FDE">
      <w:pPr>
        <w:rPr>
          <w:rFonts w:cstheme="minorHAnsi"/>
          <w:color w:val="333333"/>
          <w:shd w:val="clear" w:color="auto" w:fill="FFFFFF"/>
        </w:rPr>
      </w:pPr>
    </w:p>
    <w:p w14:paraId="54A787CE" w14:textId="25ABE235" w:rsidR="00CA60FA" w:rsidRPr="009B5AA3" w:rsidRDefault="00381B50">
      <w:pPr>
        <w:rPr>
          <w:rFonts w:cstheme="minorHAnsi"/>
          <w:color w:val="333333"/>
          <w:sz w:val="28"/>
          <w:szCs w:val="28"/>
          <w:shd w:val="clear" w:color="auto" w:fill="FFFFFF"/>
        </w:rPr>
      </w:pPr>
      <w:r w:rsidRPr="009B5AA3">
        <w:rPr>
          <w:rFonts w:cstheme="minorHAnsi"/>
          <w:color w:val="333333"/>
          <w:sz w:val="28"/>
          <w:szCs w:val="28"/>
          <w:shd w:val="clear" w:color="auto" w:fill="FFFFFF"/>
        </w:rPr>
        <w:t xml:space="preserve">Respondents are randomly selected within the selected households. </w:t>
      </w:r>
    </w:p>
    <w:p w14:paraId="56C05331" w14:textId="77777777" w:rsidR="00CA60FA" w:rsidRPr="009B5AA3" w:rsidRDefault="00CA60FA">
      <w:pPr>
        <w:rPr>
          <w:rFonts w:cstheme="minorHAnsi"/>
          <w:color w:val="333333"/>
          <w:sz w:val="28"/>
          <w:szCs w:val="28"/>
          <w:shd w:val="clear" w:color="auto" w:fill="FFFFFF"/>
        </w:rPr>
      </w:pPr>
    </w:p>
    <w:p w14:paraId="3BB9B74E" w14:textId="77777777" w:rsidR="00CA60FA" w:rsidRPr="00B934A7" w:rsidRDefault="00381B50" w:rsidP="00CA60FA">
      <w:pPr>
        <w:pStyle w:val="ListParagraph"/>
        <w:numPr>
          <w:ilvl w:val="0"/>
          <w:numId w:val="5"/>
        </w:numPr>
        <w:rPr>
          <w:rFonts w:cstheme="minorHAnsi"/>
          <w:i/>
          <w:iCs/>
          <w:color w:val="333333"/>
          <w:shd w:val="clear" w:color="auto" w:fill="FFFFFF"/>
        </w:rPr>
      </w:pPr>
      <w:r w:rsidRPr="00B934A7">
        <w:rPr>
          <w:rFonts w:cstheme="minorHAnsi"/>
          <w:i/>
          <w:iCs/>
          <w:color w:val="333333"/>
          <w:shd w:val="clear" w:color="auto" w:fill="FFFFFF"/>
        </w:rPr>
        <w:t xml:space="preserve">For paper surveys, the Kish grid method is used to select the respondent. </w:t>
      </w:r>
    </w:p>
    <w:p w14:paraId="6975E3E5" w14:textId="6F30BC6E" w:rsidR="00381B50" w:rsidRPr="00B934A7" w:rsidRDefault="00381B50" w:rsidP="00CA60FA">
      <w:pPr>
        <w:pStyle w:val="ListParagraph"/>
        <w:numPr>
          <w:ilvl w:val="0"/>
          <w:numId w:val="5"/>
        </w:numPr>
        <w:rPr>
          <w:rFonts w:cstheme="minorHAnsi"/>
          <w:i/>
          <w:iCs/>
          <w:color w:val="333333"/>
          <w:shd w:val="clear" w:color="auto" w:fill="FFFFFF"/>
        </w:rPr>
      </w:pPr>
      <w:r w:rsidRPr="00B934A7">
        <w:rPr>
          <w:rFonts w:cstheme="minorHAnsi"/>
          <w:i/>
          <w:iCs/>
          <w:color w:val="333333"/>
          <w:shd w:val="clear" w:color="auto" w:fill="FFFFFF"/>
        </w:rPr>
        <w:t>In economies where cultural restrictions dictate gender matching, respondents are randomly selected from among all eligible adults of the interviewer's gender.</w:t>
      </w:r>
    </w:p>
    <w:p w14:paraId="16E04B2A" w14:textId="77777777" w:rsidR="00381B50" w:rsidRPr="00B934A7" w:rsidRDefault="00381B50">
      <w:pPr>
        <w:rPr>
          <w:rFonts w:cstheme="minorHAnsi"/>
          <w:color w:val="333333"/>
          <w:shd w:val="clear" w:color="auto" w:fill="FFFFFF"/>
        </w:rPr>
      </w:pPr>
    </w:p>
    <w:p w14:paraId="2949139C" w14:textId="77777777" w:rsidR="00CA60FA" w:rsidRPr="009B5AA3" w:rsidRDefault="00381B50">
      <w:pPr>
        <w:rPr>
          <w:rFonts w:cstheme="minorHAnsi"/>
          <w:color w:val="333333"/>
          <w:sz w:val="28"/>
          <w:szCs w:val="28"/>
          <w:shd w:val="clear" w:color="auto" w:fill="FFFFFF"/>
        </w:rPr>
      </w:pPr>
      <w:r w:rsidRPr="009B5AA3">
        <w:rPr>
          <w:rFonts w:cstheme="minorHAnsi"/>
          <w:color w:val="333333"/>
          <w:sz w:val="28"/>
          <w:szCs w:val="28"/>
          <w:shd w:val="clear" w:color="auto" w:fill="FFFFFF"/>
        </w:rPr>
        <w:t xml:space="preserve">In traditionally phone-based economies, respondent selection follows the same procedure as in previous years, using random digit dialing or a nationally representative list of phone numbers. </w:t>
      </w:r>
    </w:p>
    <w:p w14:paraId="488A40F2" w14:textId="73821FDC" w:rsidR="00381B50" w:rsidRPr="00B934A7" w:rsidRDefault="00381B50" w:rsidP="00CA60FA">
      <w:pPr>
        <w:pStyle w:val="ListParagraph"/>
        <w:numPr>
          <w:ilvl w:val="0"/>
          <w:numId w:val="6"/>
        </w:numPr>
        <w:ind w:left="360"/>
        <w:rPr>
          <w:rFonts w:cstheme="minorHAnsi"/>
          <w:i/>
          <w:iCs/>
          <w:color w:val="333333"/>
          <w:shd w:val="clear" w:color="auto" w:fill="FFFFFF"/>
        </w:rPr>
      </w:pPr>
      <w:r w:rsidRPr="00B934A7">
        <w:rPr>
          <w:rFonts w:cstheme="minorHAnsi"/>
          <w:i/>
          <w:iCs/>
          <w:color w:val="333333"/>
          <w:shd w:val="clear" w:color="auto" w:fill="FFFFFF"/>
        </w:rPr>
        <w:t>In most economies where mobile phone and landline penetration is high, a dual sampling frame is used.</w:t>
      </w:r>
    </w:p>
    <w:p w14:paraId="5357C801" w14:textId="77777777" w:rsidR="00756FDE" w:rsidRDefault="00756FDE">
      <w:pPr>
        <w:rPr>
          <w:rFonts w:ascii="Roboto" w:hAnsi="Roboto"/>
          <w:i/>
          <w:iCs/>
          <w:color w:val="333333"/>
          <w:sz w:val="28"/>
          <w:szCs w:val="28"/>
          <w:shd w:val="clear" w:color="auto" w:fill="FFFFFF"/>
        </w:rPr>
      </w:pPr>
    </w:p>
    <w:p w14:paraId="61F86D73" w14:textId="77777777" w:rsidR="009B5AA3" w:rsidRDefault="009B5AA3">
      <w:pPr>
        <w:rPr>
          <w:rFonts w:ascii="Roboto" w:hAnsi="Roboto"/>
          <w:i/>
          <w:iCs/>
          <w:color w:val="333333"/>
          <w:sz w:val="28"/>
          <w:szCs w:val="28"/>
          <w:shd w:val="clear" w:color="auto" w:fill="FFFFFF"/>
        </w:rPr>
      </w:pPr>
    </w:p>
    <w:p w14:paraId="17658AA7" w14:textId="77777777" w:rsidR="009B5AA3" w:rsidRPr="00B934A7" w:rsidRDefault="009B5AA3">
      <w:pPr>
        <w:rPr>
          <w:rFonts w:ascii="Roboto" w:hAnsi="Roboto"/>
          <w:color w:val="333333"/>
          <w:sz w:val="28"/>
          <w:szCs w:val="28"/>
          <w:shd w:val="clear" w:color="auto" w:fill="FFFFFF"/>
        </w:rPr>
      </w:pPr>
    </w:p>
    <w:p w14:paraId="6F8ED2E6" w14:textId="6ED10682" w:rsidR="00B934A7" w:rsidRPr="00EE2041" w:rsidRDefault="009B5AA3">
      <w:pPr>
        <w:rPr>
          <w:rFonts w:cstheme="minorHAnsi"/>
          <w:b/>
          <w:bCs/>
          <w:color w:val="333333"/>
          <w:sz w:val="28"/>
          <w:szCs w:val="28"/>
          <w:u w:val="single"/>
          <w:shd w:val="clear" w:color="auto" w:fill="FFFFFF"/>
        </w:rPr>
      </w:pPr>
      <w:r w:rsidRPr="00EE2041">
        <w:rPr>
          <w:rFonts w:cstheme="minorHAnsi"/>
          <w:b/>
          <w:bCs/>
          <w:color w:val="333333"/>
          <w:sz w:val="28"/>
          <w:szCs w:val="28"/>
          <w:u w:val="single"/>
          <w:shd w:val="clear" w:color="auto" w:fill="FFFFFF"/>
        </w:rPr>
        <w:lastRenderedPageBreak/>
        <w:t>Reason for study</w:t>
      </w:r>
    </w:p>
    <w:p w14:paraId="3DFF987C" w14:textId="7CC24887" w:rsidR="00B934A7" w:rsidRPr="009B5AA3" w:rsidRDefault="00B934A7">
      <w:pPr>
        <w:rPr>
          <w:rFonts w:cstheme="minorHAnsi"/>
          <w:color w:val="333333"/>
          <w:shd w:val="clear" w:color="auto" w:fill="FFFFFF"/>
        </w:rPr>
      </w:pPr>
      <w:r w:rsidRPr="009B5AA3">
        <w:rPr>
          <w:rFonts w:cstheme="minorHAnsi"/>
          <w:color w:val="333333"/>
          <w:shd w:val="clear" w:color="auto" w:fill="FFFFFF"/>
        </w:rPr>
        <w:t xml:space="preserve">I chose this dataset because it is </w:t>
      </w:r>
      <w:r w:rsidR="009B5AA3">
        <w:rPr>
          <w:rFonts w:cstheme="minorHAnsi"/>
          <w:color w:val="333333"/>
          <w:shd w:val="clear" w:color="auto" w:fill="FFFFFF"/>
        </w:rPr>
        <w:t xml:space="preserve">broadly </w:t>
      </w:r>
      <w:r w:rsidRPr="009B5AA3">
        <w:rPr>
          <w:rFonts w:cstheme="minorHAnsi"/>
          <w:color w:val="333333"/>
          <w:shd w:val="clear" w:color="auto" w:fill="FFFFFF"/>
        </w:rPr>
        <w:t xml:space="preserve">useful information to understand the world’s developing economies. It has </w:t>
      </w:r>
      <w:r w:rsidR="00194165">
        <w:rPr>
          <w:rFonts w:cstheme="minorHAnsi"/>
          <w:color w:val="333333"/>
          <w:shd w:val="clear" w:color="auto" w:fill="FFFFFF"/>
        </w:rPr>
        <w:t>relevant</w:t>
      </w:r>
      <w:r w:rsidRPr="009B5AA3">
        <w:rPr>
          <w:rFonts w:cstheme="minorHAnsi"/>
          <w:color w:val="333333"/>
          <w:shd w:val="clear" w:color="auto" w:fill="FFFFFF"/>
        </w:rPr>
        <w:t xml:space="preserve"> information that ties into all my projects in terms of understanding global markets for banking, disease, and marketing ventures for consumer goods. I like that it has both a research aspect in understanding how the world is scaling in advancements and technology that make their lives more convenient </w:t>
      </w:r>
      <w:r w:rsidR="00194165">
        <w:rPr>
          <w:rFonts w:cstheme="minorHAnsi"/>
          <w:color w:val="333333"/>
          <w:shd w:val="clear" w:color="auto" w:fill="FFFFFF"/>
        </w:rPr>
        <w:t xml:space="preserve">and opens opportunities to participate in the global economy, </w:t>
      </w:r>
      <w:r w:rsidRPr="009B5AA3">
        <w:rPr>
          <w:rFonts w:cstheme="minorHAnsi"/>
          <w:color w:val="333333"/>
          <w:shd w:val="clear" w:color="auto" w:fill="FFFFFF"/>
        </w:rPr>
        <w:t>as well as it can be useful to know in business to track emerging markets to expand into.</w:t>
      </w:r>
    </w:p>
    <w:p w14:paraId="7CDE93A8" w14:textId="3BBB8F77" w:rsidR="00EE2041" w:rsidRPr="00EE2041" w:rsidRDefault="00EE2041">
      <w:pPr>
        <w:rPr>
          <w:rFonts w:cstheme="minorHAnsi"/>
          <w:b/>
          <w:bCs/>
          <w:color w:val="333333"/>
          <w:sz w:val="28"/>
          <w:szCs w:val="28"/>
          <w:u w:val="single"/>
          <w:shd w:val="clear" w:color="auto" w:fill="FFFFFF"/>
        </w:rPr>
      </w:pPr>
    </w:p>
    <w:p w14:paraId="5B9ED8FA" w14:textId="5F94DF60" w:rsidR="00756FDE" w:rsidRPr="009B5AA3" w:rsidRDefault="00756FDE">
      <w:pPr>
        <w:rPr>
          <w:rFonts w:cstheme="minorHAnsi"/>
          <w:b/>
          <w:bCs/>
          <w:color w:val="333333"/>
          <w:sz w:val="28"/>
          <w:szCs w:val="28"/>
          <w:u w:val="single"/>
          <w:shd w:val="clear" w:color="auto" w:fill="FFFFFF"/>
        </w:rPr>
      </w:pPr>
      <w:r w:rsidRPr="00B934A7">
        <w:rPr>
          <w:rFonts w:cstheme="minorHAnsi"/>
          <w:b/>
          <w:bCs/>
          <w:color w:val="333333"/>
          <w:sz w:val="28"/>
          <w:szCs w:val="28"/>
          <w:u w:val="single"/>
          <w:shd w:val="clear" w:color="auto" w:fill="FFFFFF"/>
        </w:rPr>
        <w:t>Data Limitations</w:t>
      </w:r>
    </w:p>
    <w:p w14:paraId="7F7C5349" w14:textId="77777777" w:rsidR="009B5AA3" w:rsidRDefault="00381B50">
      <w:pPr>
        <w:rPr>
          <w:rFonts w:cstheme="minorHAnsi"/>
          <w:color w:val="333333"/>
          <w:shd w:val="clear" w:color="auto" w:fill="FFFFFF"/>
        </w:rPr>
      </w:pPr>
      <w:r w:rsidRPr="009B5AA3">
        <w:rPr>
          <w:rFonts w:cstheme="minorHAnsi"/>
          <w:color w:val="333333"/>
          <w:shd w:val="clear" w:color="auto" w:fill="FFFFFF"/>
        </w:rPr>
        <w:t xml:space="preserve">Data weighting is used to ensure a nationally representative sample for each economy. </w:t>
      </w:r>
    </w:p>
    <w:p w14:paraId="4CCF5C76" w14:textId="0660DD89" w:rsidR="00381B50" w:rsidRPr="009B5AA3" w:rsidRDefault="00381B50" w:rsidP="009B5AA3">
      <w:pPr>
        <w:pStyle w:val="ListParagraph"/>
        <w:numPr>
          <w:ilvl w:val="0"/>
          <w:numId w:val="6"/>
        </w:numPr>
        <w:rPr>
          <w:rFonts w:cstheme="minorHAnsi"/>
          <w:color w:val="333333"/>
          <w:shd w:val="clear" w:color="auto" w:fill="FFFFFF"/>
        </w:rPr>
      </w:pPr>
      <w:r w:rsidRPr="009B5AA3">
        <w:rPr>
          <w:rFonts w:cstheme="minorHAnsi"/>
          <w:color w:val="333333"/>
          <w:shd w:val="clear" w:color="auto" w:fill="FFFFFF"/>
        </w:rPr>
        <w:t xml:space="preserve">Final weights consist of the base sampling weight, which corrects for unequal probability of selection based on household size, and the poststratification weight, which corrects for sampling and nonresponse error. </w:t>
      </w:r>
    </w:p>
    <w:p w14:paraId="4745ADCE" w14:textId="64633404" w:rsidR="00381B50" w:rsidRPr="009B5AA3" w:rsidRDefault="00381B50" w:rsidP="009B5AA3">
      <w:pPr>
        <w:pStyle w:val="ListParagraph"/>
        <w:numPr>
          <w:ilvl w:val="0"/>
          <w:numId w:val="6"/>
        </w:numPr>
        <w:rPr>
          <w:rFonts w:cstheme="minorHAnsi"/>
          <w:color w:val="333333"/>
          <w:shd w:val="clear" w:color="auto" w:fill="FFFFFF"/>
        </w:rPr>
      </w:pPr>
      <w:r w:rsidRPr="009B5AA3">
        <w:rPr>
          <w:rFonts w:cstheme="minorHAnsi"/>
          <w:color w:val="333333"/>
          <w:shd w:val="clear" w:color="auto" w:fill="FFFFFF"/>
        </w:rPr>
        <w:t>Poststratification weights use economy-level population statistics on gender and age and, where reliable data are available, education or socioeconomic status.</w:t>
      </w:r>
    </w:p>
    <w:p w14:paraId="711ADE12" w14:textId="77777777" w:rsidR="00381B50" w:rsidRPr="009B5AA3" w:rsidRDefault="00381B50">
      <w:pPr>
        <w:rPr>
          <w:rFonts w:cstheme="minorHAnsi"/>
          <w:color w:val="333333"/>
          <w:shd w:val="clear" w:color="auto" w:fill="FFFFFF"/>
        </w:rPr>
      </w:pPr>
    </w:p>
    <w:p w14:paraId="09220FF7" w14:textId="7FE23E96" w:rsidR="00381B50" w:rsidRPr="009B5AA3" w:rsidRDefault="009B5AA3">
      <w:pPr>
        <w:rPr>
          <w:rFonts w:cstheme="minorHAnsi"/>
          <w:color w:val="333333"/>
          <w:shd w:val="clear" w:color="auto" w:fill="FFFFFF"/>
        </w:rPr>
      </w:pPr>
      <w:r>
        <w:rPr>
          <w:rFonts w:cstheme="minorHAnsi"/>
          <w:color w:val="333333"/>
          <w:shd w:val="clear" w:color="auto" w:fill="FFFFFF"/>
        </w:rPr>
        <w:t>The accuracy of the data depends on</w:t>
      </w:r>
      <w:r w:rsidR="00381B50" w:rsidRPr="009B5AA3">
        <w:rPr>
          <w:rFonts w:cstheme="minorHAnsi"/>
          <w:color w:val="333333"/>
          <w:shd w:val="clear" w:color="auto" w:fill="FFFFFF"/>
        </w:rPr>
        <w:t xml:space="preserve"> participation and getting a selection of </w:t>
      </w:r>
      <w:r w:rsidR="00FB3D6F" w:rsidRPr="009B5AA3">
        <w:rPr>
          <w:rFonts w:cstheme="minorHAnsi"/>
          <w:color w:val="333333"/>
          <w:shd w:val="clear" w:color="auto" w:fill="FFFFFF"/>
        </w:rPr>
        <w:t>responders</w:t>
      </w:r>
      <w:r w:rsidR="00381B50" w:rsidRPr="009B5AA3">
        <w:rPr>
          <w:rFonts w:cstheme="minorHAnsi"/>
          <w:color w:val="333333"/>
          <w:shd w:val="clear" w:color="auto" w:fill="FFFFFF"/>
        </w:rPr>
        <w:t xml:space="preserve"> that proportionately represents the entire population accurately. As well as getting consent from participants and truthful responses.</w:t>
      </w:r>
    </w:p>
    <w:p w14:paraId="7B2EAAA4" w14:textId="77777777" w:rsidR="00381B50" w:rsidRPr="009B5AA3" w:rsidRDefault="00381B50">
      <w:pPr>
        <w:rPr>
          <w:rFonts w:cstheme="minorHAnsi"/>
          <w:color w:val="333333"/>
          <w:shd w:val="clear" w:color="auto" w:fill="FFFFFF"/>
        </w:rPr>
      </w:pPr>
    </w:p>
    <w:p w14:paraId="7060D2B6" w14:textId="0FC18672" w:rsidR="00B934A7" w:rsidRPr="00B934A7" w:rsidRDefault="00B934A7">
      <w:pPr>
        <w:rPr>
          <w:rFonts w:cstheme="minorHAnsi"/>
          <w:b/>
          <w:bCs/>
          <w:color w:val="333333"/>
          <w:sz w:val="28"/>
          <w:szCs w:val="28"/>
          <w:u w:val="single"/>
          <w:shd w:val="clear" w:color="auto" w:fill="FFFFFF"/>
        </w:rPr>
      </w:pPr>
      <w:r w:rsidRPr="00B934A7">
        <w:rPr>
          <w:rFonts w:cstheme="minorHAnsi"/>
          <w:b/>
          <w:bCs/>
          <w:color w:val="333333"/>
          <w:sz w:val="28"/>
          <w:szCs w:val="28"/>
          <w:u w:val="single"/>
          <w:shd w:val="clear" w:color="auto" w:fill="FFFFFF"/>
        </w:rPr>
        <w:t>Ethics</w:t>
      </w:r>
    </w:p>
    <w:p w14:paraId="5A90458E" w14:textId="4F6A9B97" w:rsidR="00B934A7" w:rsidRPr="009B5AA3" w:rsidRDefault="00B934A7">
      <w:pPr>
        <w:rPr>
          <w:rFonts w:cstheme="minorHAnsi"/>
          <w:color w:val="333333"/>
          <w:shd w:val="clear" w:color="auto" w:fill="FFFFFF"/>
        </w:rPr>
      </w:pPr>
      <w:r w:rsidRPr="009B5AA3">
        <w:rPr>
          <w:rFonts w:cstheme="minorHAnsi"/>
          <w:color w:val="333333"/>
          <w:shd w:val="clear" w:color="auto" w:fill="FFFFFF"/>
        </w:rPr>
        <w:t>Respecting the privacy of responders who may not feel comfortable divulging their personal finance information in terms of where their funding comes from, and how the survey responders save and borrow with these funds. Also, they are not being paid for their data and may not be fully aware of the future uses of it for sales and marketing purposes outside their countries.</w:t>
      </w:r>
    </w:p>
    <w:p w14:paraId="19FB35B8" w14:textId="77777777" w:rsidR="00B934A7" w:rsidRPr="00B934A7" w:rsidRDefault="00B934A7">
      <w:pPr>
        <w:rPr>
          <w:rFonts w:cstheme="minorHAnsi"/>
          <w:color w:val="333333"/>
          <w:sz w:val="28"/>
          <w:szCs w:val="28"/>
          <w:shd w:val="clear" w:color="auto" w:fill="FFFFFF"/>
        </w:rPr>
      </w:pPr>
    </w:p>
    <w:p w14:paraId="245AE87D" w14:textId="13CC9BCA" w:rsidR="00381B50" w:rsidRPr="00B934A7" w:rsidRDefault="00381B50">
      <w:pPr>
        <w:rPr>
          <w:rFonts w:cstheme="minorHAnsi"/>
          <w:b/>
          <w:bCs/>
          <w:sz w:val="28"/>
          <w:szCs w:val="28"/>
          <w:u w:val="single"/>
        </w:rPr>
      </w:pPr>
      <w:r w:rsidRPr="00B934A7">
        <w:rPr>
          <w:rFonts w:cstheme="minorHAnsi"/>
          <w:b/>
          <w:bCs/>
          <w:sz w:val="28"/>
          <w:szCs w:val="28"/>
          <w:u w:val="single"/>
        </w:rPr>
        <w:t>Contents</w:t>
      </w:r>
    </w:p>
    <w:p w14:paraId="3C33A149" w14:textId="77777777" w:rsidR="00381B50" w:rsidRPr="009B5AA3" w:rsidRDefault="00381B50" w:rsidP="00381B50">
      <w:pPr>
        <w:rPr>
          <w:rFonts w:cstheme="minorHAnsi"/>
        </w:rPr>
      </w:pPr>
      <w:r w:rsidRPr="009B5AA3">
        <w:rPr>
          <w:rFonts w:cstheme="minorHAnsi"/>
        </w:rPr>
        <w:t xml:space="preserve">The Global Findex is the world’s most comprehensive database on financial inclusion. It is also the only global demand-side data source allowing for global and regional cross-country analysis to provide a rigorous and multidimensional picture of how adults save, borrow, make payments, and manage financial risk. </w:t>
      </w:r>
    </w:p>
    <w:p w14:paraId="632276C7" w14:textId="77777777" w:rsidR="00381B50" w:rsidRPr="009B5AA3" w:rsidRDefault="00381B50">
      <w:pPr>
        <w:rPr>
          <w:rFonts w:cstheme="minorHAnsi"/>
          <w:b/>
          <w:bCs/>
          <w:u w:val="single"/>
        </w:rPr>
      </w:pPr>
    </w:p>
    <w:p w14:paraId="5EF1A6F4" w14:textId="77777777" w:rsidR="00381B50" w:rsidRPr="009B5AA3" w:rsidRDefault="00381B50" w:rsidP="00381B50">
      <w:pPr>
        <w:rPr>
          <w:rFonts w:cstheme="minorHAnsi"/>
          <w:i/>
          <w:iCs/>
          <w:color w:val="333333"/>
          <w:shd w:val="clear" w:color="auto" w:fill="FFFFFF"/>
        </w:rPr>
      </w:pPr>
      <w:r w:rsidRPr="009B5AA3">
        <w:rPr>
          <w:rFonts w:cstheme="minorHAnsi"/>
          <w:color w:val="333333"/>
          <w:shd w:val="clear" w:color="auto" w:fill="FFFFFF"/>
        </w:rPr>
        <w:t>*</w:t>
      </w:r>
      <w:r w:rsidRPr="009B5AA3">
        <w:rPr>
          <w:rFonts w:cstheme="minorHAnsi"/>
          <w:i/>
          <w:iCs/>
          <w:color w:val="333333"/>
          <w:shd w:val="clear" w:color="auto" w:fill="FFFFFF"/>
        </w:rPr>
        <w:t xml:space="preserve">The latest edition follows the 2011, 2014, and 2017 editions, and it includes </w:t>
      </w:r>
      <w:proofErr w:type="gramStart"/>
      <w:r w:rsidRPr="009B5AA3">
        <w:rPr>
          <w:rFonts w:cstheme="minorHAnsi"/>
          <w:i/>
          <w:iCs/>
          <w:color w:val="333333"/>
          <w:shd w:val="clear" w:color="auto" w:fill="FFFFFF"/>
        </w:rPr>
        <w:t>a number of</w:t>
      </w:r>
      <w:proofErr w:type="gramEnd"/>
      <w:r w:rsidRPr="009B5AA3">
        <w:rPr>
          <w:rFonts w:cstheme="minorHAnsi"/>
          <w:i/>
          <w:iCs/>
          <w:color w:val="333333"/>
          <w:shd w:val="clear" w:color="auto" w:fill="FFFFFF"/>
        </w:rPr>
        <w:t xml:space="preserve"> new series measuring financial health and resilience and contains more granular data on digital payment adoption, including merchant and government payments.</w:t>
      </w:r>
    </w:p>
    <w:p w14:paraId="779EC477" w14:textId="77777777" w:rsidR="00381B50" w:rsidRPr="00B934A7" w:rsidRDefault="00381B50" w:rsidP="00381B50">
      <w:pPr>
        <w:rPr>
          <w:rFonts w:cstheme="minorHAnsi"/>
          <w:i/>
          <w:iCs/>
          <w:color w:val="333333"/>
          <w:sz w:val="28"/>
          <w:szCs w:val="28"/>
          <w:shd w:val="clear" w:color="auto" w:fill="FFFFFF"/>
        </w:rPr>
      </w:pPr>
    </w:p>
    <w:p w14:paraId="20E403AA" w14:textId="77777777" w:rsidR="00381B50" w:rsidRPr="00EE2041" w:rsidRDefault="00381B50" w:rsidP="00381B50">
      <w:pPr>
        <w:rPr>
          <w:rFonts w:cstheme="minorHAnsi"/>
          <w:color w:val="333333"/>
          <w:shd w:val="clear" w:color="auto" w:fill="FFFFFF"/>
        </w:rPr>
      </w:pPr>
      <w:r w:rsidRPr="00EE2041">
        <w:rPr>
          <w:rFonts w:cstheme="minorHAnsi"/>
          <w:color w:val="333333"/>
          <w:shd w:val="clear" w:color="auto" w:fill="FFFFFF"/>
        </w:rPr>
        <w:t>The Global Findex is an indispensable resource for financial service practitioners, policy makers, researchers, and development professionals.</w:t>
      </w:r>
    </w:p>
    <w:p w14:paraId="1F9980DF" w14:textId="77777777" w:rsidR="00381B50" w:rsidRPr="00B934A7" w:rsidRDefault="00381B50">
      <w:pPr>
        <w:rPr>
          <w:rFonts w:cstheme="minorHAnsi"/>
          <w:b/>
          <w:bCs/>
          <w:sz w:val="28"/>
          <w:szCs w:val="28"/>
          <w:u w:val="single"/>
        </w:rPr>
      </w:pPr>
    </w:p>
    <w:p w14:paraId="61E78DCA" w14:textId="77777777" w:rsidR="0003265B" w:rsidRPr="009B5AA3" w:rsidRDefault="00610A3B">
      <w:pPr>
        <w:rPr>
          <w:rFonts w:cstheme="minorHAnsi"/>
        </w:rPr>
      </w:pPr>
      <w:r w:rsidRPr="009B5AA3">
        <w:rPr>
          <w:rFonts w:cstheme="minorHAnsi"/>
        </w:rPr>
        <w:t>The survey consists of questions relating to if the respondents</w:t>
      </w:r>
      <w:r w:rsidR="0003265B" w:rsidRPr="009B5AA3">
        <w:rPr>
          <w:rFonts w:cstheme="minorHAnsi"/>
        </w:rPr>
        <w:t>:</w:t>
      </w:r>
    </w:p>
    <w:p w14:paraId="50D78112" w14:textId="77777777" w:rsidR="0003265B" w:rsidRPr="009B5AA3" w:rsidRDefault="00610A3B" w:rsidP="0003265B">
      <w:pPr>
        <w:pStyle w:val="ListParagraph"/>
        <w:numPr>
          <w:ilvl w:val="0"/>
          <w:numId w:val="1"/>
        </w:numPr>
        <w:rPr>
          <w:rFonts w:cstheme="minorHAnsi"/>
        </w:rPr>
      </w:pPr>
      <w:r w:rsidRPr="009B5AA3">
        <w:rPr>
          <w:rFonts w:cstheme="minorHAnsi"/>
        </w:rPr>
        <w:t xml:space="preserve">have bank accounts, </w:t>
      </w:r>
    </w:p>
    <w:p w14:paraId="66FC2F53" w14:textId="362724D4" w:rsidR="0003265B" w:rsidRPr="009B5AA3" w:rsidRDefault="009B5AA3" w:rsidP="0003265B">
      <w:pPr>
        <w:pStyle w:val="ListParagraph"/>
        <w:numPr>
          <w:ilvl w:val="0"/>
          <w:numId w:val="1"/>
        </w:numPr>
        <w:rPr>
          <w:rFonts w:cstheme="minorHAnsi"/>
        </w:rPr>
      </w:pPr>
      <w:r>
        <w:rPr>
          <w:rFonts w:cstheme="minorHAnsi"/>
        </w:rPr>
        <w:t>household</w:t>
      </w:r>
      <w:r w:rsidR="00610A3B" w:rsidRPr="009B5AA3">
        <w:rPr>
          <w:rFonts w:cstheme="minorHAnsi"/>
        </w:rPr>
        <w:t xml:space="preserve"> sources of funding</w:t>
      </w:r>
      <w:r w:rsidR="0003265B" w:rsidRPr="009B5AA3">
        <w:rPr>
          <w:rFonts w:cstheme="minorHAnsi"/>
        </w:rPr>
        <w:t>.</w:t>
      </w:r>
    </w:p>
    <w:p w14:paraId="53B2227E" w14:textId="28CA855F" w:rsidR="0003265B" w:rsidRPr="009B5AA3" w:rsidRDefault="009B5AA3" w:rsidP="0003265B">
      <w:pPr>
        <w:pStyle w:val="ListParagraph"/>
        <w:numPr>
          <w:ilvl w:val="0"/>
          <w:numId w:val="1"/>
        </w:numPr>
        <w:rPr>
          <w:rFonts w:cstheme="minorHAnsi"/>
        </w:rPr>
      </w:pPr>
      <w:r>
        <w:rPr>
          <w:rFonts w:cstheme="minorHAnsi"/>
        </w:rPr>
        <w:t xml:space="preserve">Household </w:t>
      </w:r>
      <w:r w:rsidR="00610A3B" w:rsidRPr="009B5AA3">
        <w:rPr>
          <w:rFonts w:cstheme="minorHAnsi"/>
        </w:rPr>
        <w:t xml:space="preserve">use of credit cards and digital technologies to make payments on mobile or internet transactions. </w:t>
      </w:r>
    </w:p>
    <w:p w14:paraId="76C0628D" w14:textId="6ED9A045" w:rsidR="00A73E58" w:rsidRPr="009B5AA3" w:rsidRDefault="00610A3B" w:rsidP="00A73E58">
      <w:pPr>
        <w:pStyle w:val="ListParagraph"/>
        <w:numPr>
          <w:ilvl w:val="0"/>
          <w:numId w:val="1"/>
        </w:numPr>
        <w:rPr>
          <w:rFonts w:cstheme="minorHAnsi"/>
        </w:rPr>
      </w:pPr>
      <w:r w:rsidRPr="009B5AA3">
        <w:rPr>
          <w:rFonts w:cstheme="minorHAnsi"/>
        </w:rPr>
        <w:t>As well as saving and borrowing habits for financial resiliency.</w:t>
      </w:r>
    </w:p>
    <w:p w14:paraId="7C71EFB5" w14:textId="77777777" w:rsidR="00A73E58" w:rsidRPr="009B5AA3" w:rsidRDefault="00A73E58" w:rsidP="00A73E58">
      <w:pPr>
        <w:ind w:left="415"/>
        <w:jc w:val="both"/>
        <w:rPr>
          <w:rFonts w:cstheme="minorHAnsi"/>
        </w:rPr>
      </w:pPr>
    </w:p>
    <w:p w14:paraId="7E38A3CB" w14:textId="77777777" w:rsidR="00B934A7" w:rsidRPr="009B5AA3" w:rsidRDefault="00B934A7" w:rsidP="00A73E58">
      <w:pPr>
        <w:ind w:left="415"/>
        <w:rPr>
          <w:rFonts w:cstheme="minorHAnsi"/>
          <w:b/>
          <w:bCs/>
          <w:u w:val="single"/>
        </w:rPr>
      </w:pPr>
    </w:p>
    <w:p w14:paraId="3AF0ACD7" w14:textId="77777777" w:rsidR="009B5AA3" w:rsidRDefault="009B5AA3" w:rsidP="00A73E58">
      <w:pPr>
        <w:ind w:left="415"/>
        <w:rPr>
          <w:rFonts w:cstheme="minorHAnsi"/>
          <w:b/>
          <w:bCs/>
          <w:u w:val="single"/>
        </w:rPr>
      </w:pPr>
    </w:p>
    <w:p w14:paraId="738DDFA7" w14:textId="77777777" w:rsidR="009B5AA3" w:rsidRDefault="009B5AA3" w:rsidP="00A73E58">
      <w:pPr>
        <w:ind w:left="415"/>
        <w:rPr>
          <w:rFonts w:cstheme="minorHAnsi"/>
          <w:b/>
          <w:bCs/>
          <w:u w:val="single"/>
        </w:rPr>
      </w:pPr>
    </w:p>
    <w:p w14:paraId="020287EA" w14:textId="3E23840E" w:rsidR="00A73E58" w:rsidRPr="009B5AA3" w:rsidRDefault="00A73E58" w:rsidP="00A73E58">
      <w:pPr>
        <w:ind w:left="415"/>
        <w:rPr>
          <w:rFonts w:cstheme="minorHAnsi"/>
          <w:b/>
          <w:bCs/>
          <w:u w:val="single"/>
        </w:rPr>
      </w:pPr>
      <w:r w:rsidRPr="009B5AA3">
        <w:rPr>
          <w:rFonts w:cstheme="minorHAnsi"/>
          <w:b/>
          <w:bCs/>
          <w:u w:val="single"/>
        </w:rPr>
        <w:t>Data R</w:t>
      </w:r>
      <w:r w:rsidR="0086382C" w:rsidRPr="009B5AA3">
        <w:rPr>
          <w:rFonts w:cstheme="minorHAnsi"/>
          <w:b/>
          <w:bCs/>
          <w:u w:val="single"/>
        </w:rPr>
        <w:t>elev</w:t>
      </w:r>
      <w:r w:rsidR="00D72747" w:rsidRPr="009B5AA3">
        <w:rPr>
          <w:rFonts w:cstheme="minorHAnsi"/>
          <w:b/>
          <w:bCs/>
          <w:u w:val="single"/>
        </w:rPr>
        <w:t>anc</w:t>
      </w:r>
      <w:r w:rsidRPr="009B5AA3">
        <w:rPr>
          <w:rFonts w:cstheme="minorHAnsi"/>
          <w:b/>
          <w:bCs/>
          <w:u w:val="single"/>
        </w:rPr>
        <w:t>y</w:t>
      </w:r>
    </w:p>
    <w:p w14:paraId="75C80362" w14:textId="77777777" w:rsidR="00562B93" w:rsidRPr="009B5AA3" w:rsidRDefault="00562B93" w:rsidP="00A73E58">
      <w:pPr>
        <w:ind w:left="415"/>
        <w:rPr>
          <w:rFonts w:cstheme="minorHAnsi"/>
          <w:b/>
          <w:bCs/>
          <w:u w:val="single"/>
        </w:rPr>
      </w:pPr>
    </w:p>
    <w:p w14:paraId="6E28849A" w14:textId="0BE6F5AD" w:rsidR="00562B93" w:rsidRPr="009B5AA3" w:rsidRDefault="00562B93" w:rsidP="00A73E58">
      <w:pPr>
        <w:ind w:left="415"/>
        <w:rPr>
          <w:rFonts w:cstheme="minorHAnsi"/>
        </w:rPr>
      </w:pPr>
      <w:r w:rsidRPr="009B5AA3">
        <w:rPr>
          <w:rFonts w:cstheme="minorHAnsi"/>
          <w:b/>
          <w:bCs/>
          <w:u w:val="single"/>
        </w:rPr>
        <w:t>Objective:</w:t>
      </w:r>
      <w:r w:rsidR="00FB3D6F" w:rsidRPr="009B5AA3">
        <w:rPr>
          <w:rFonts w:cstheme="minorHAnsi"/>
          <w:b/>
          <w:bCs/>
          <w:u w:val="single"/>
        </w:rPr>
        <w:t xml:space="preserve"> </w:t>
      </w:r>
      <w:r w:rsidR="00194165">
        <w:rPr>
          <w:rFonts w:cstheme="minorHAnsi"/>
        </w:rPr>
        <w:t>Understand how education levels are related to income quintile levels</w:t>
      </w:r>
      <w:r w:rsidR="00443A41">
        <w:rPr>
          <w:rFonts w:cstheme="minorHAnsi"/>
        </w:rPr>
        <w:t xml:space="preserve"> across all geographies</w:t>
      </w:r>
      <w:r w:rsidR="00194165">
        <w:rPr>
          <w:rFonts w:cstheme="minorHAnsi"/>
        </w:rPr>
        <w:t>.</w:t>
      </w:r>
    </w:p>
    <w:p w14:paraId="1422584D" w14:textId="77777777" w:rsidR="00562B93" w:rsidRPr="009B5AA3" w:rsidRDefault="00562B93" w:rsidP="00A73E58">
      <w:pPr>
        <w:ind w:left="415"/>
        <w:rPr>
          <w:rFonts w:cstheme="minorHAnsi"/>
          <w:b/>
          <w:bCs/>
          <w:u w:val="single"/>
        </w:rPr>
      </w:pPr>
    </w:p>
    <w:p w14:paraId="5CBE5BE6" w14:textId="0828BA0C" w:rsidR="00562B93" w:rsidRDefault="00562B93" w:rsidP="00A73E58">
      <w:pPr>
        <w:ind w:left="415"/>
        <w:rPr>
          <w:rFonts w:cstheme="minorHAnsi"/>
        </w:rPr>
      </w:pPr>
      <w:r w:rsidRPr="009B5AA3">
        <w:rPr>
          <w:rFonts w:cstheme="minorHAnsi"/>
          <w:b/>
          <w:bCs/>
          <w:u w:val="single"/>
        </w:rPr>
        <w:t>Hypothesis:</w:t>
      </w:r>
      <w:r w:rsidR="00194165">
        <w:rPr>
          <w:rFonts w:cstheme="minorHAnsi"/>
        </w:rPr>
        <w:t xml:space="preserve"> </w:t>
      </w:r>
      <w:r w:rsidR="00E07774">
        <w:rPr>
          <w:rFonts w:cstheme="minorHAnsi"/>
        </w:rPr>
        <w:t>There will be a strong</w:t>
      </w:r>
      <w:r w:rsidR="00194165">
        <w:rPr>
          <w:rFonts w:cstheme="minorHAnsi"/>
        </w:rPr>
        <w:t xml:space="preserve"> correlation between populations with higher penetration of higher levels of education </w:t>
      </w:r>
      <w:r w:rsidR="00E07774">
        <w:rPr>
          <w:rFonts w:cstheme="minorHAnsi"/>
        </w:rPr>
        <w:t xml:space="preserve">with higher % penetrations of the population in higher </w:t>
      </w:r>
      <w:r w:rsidR="00194165">
        <w:rPr>
          <w:rFonts w:cstheme="minorHAnsi"/>
        </w:rPr>
        <w:t>income quintiles</w:t>
      </w:r>
      <w:r w:rsidR="00E07774">
        <w:rPr>
          <w:rFonts w:cstheme="minorHAnsi"/>
        </w:rPr>
        <w:t xml:space="preserve"> as well as if they are in the workforce.</w:t>
      </w:r>
      <w:r w:rsidR="00194165">
        <w:rPr>
          <w:rFonts w:cstheme="minorHAnsi"/>
        </w:rPr>
        <w:t xml:space="preserve"> </w:t>
      </w:r>
    </w:p>
    <w:p w14:paraId="7DD088DA" w14:textId="77777777" w:rsidR="00E07774" w:rsidRDefault="00E07774" w:rsidP="00A73E58">
      <w:pPr>
        <w:ind w:left="415"/>
        <w:rPr>
          <w:rFonts w:cstheme="minorHAnsi"/>
        </w:rPr>
      </w:pPr>
    </w:p>
    <w:p w14:paraId="7896B205" w14:textId="15ED475E" w:rsidR="00E07774" w:rsidRDefault="00E07774" w:rsidP="00A73E58">
      <w:pPr>
        <w:ind w:left="415"/>
        <w:rPr>
          <w:rFonts w:cstheme="minorHAnsi"/>
        </w:rPr>
      </w:pPr>
      <w:r>
        <w:rPr>
          <w:rFonts w:cstheme="minorHAnsi"/>
        </w:rPr>
        <w:t>It would be interesting to see if it’s the same of different for males vs. females by country</w:t>
      </w:r>
      <w:r w:rsidR="00EE2041">
        <w:rPr>
          <w:rFonts w:cstheme="minorHAnsi"/>
        </w:rPr>
        <w:t>/region</w:t>
      </w:r>
      <w:r>
        <w:rPr>
          <w:rFonts w:cstheme="minorHAnsi"/>
        </w:rPr>
        <w:t>.</w:t>
      </w:r>
    </w:p>
    <w:p w14:paraId="21393F23" w14:textId="77777777" w:rsidR="00E07774" w:rsidRDefault="00E07774" w:rsidP="00A73E58">
      <w:pPr>
        <w:ind w:left="415"/>
        <w:rPr>
          <w:rFonts w:cstheme="minorHAnsi"/>
        </w:rPr>
      </w:pPr>
    </w:p>
    <w:p w14:paraId="54AC6B4F" w14:textId="60232DAB" w:rsidR="00E07774" w:rsidRDefault="00E07774" w:rsidP="00E07774">
      <w:pPr>
        <w:ind w:left="415"/>
        <w:rPr>
          <w:rFonts w:cstheme="minorHAnsi"/>
        </w:rPr>
      </w:pPr>
      <w:r w:rsidRPr="009B5AA3">
        <w:rPr>
          <w:rFonts w:cstheme="minorHAnsi"/>
          <w:b/>
          <w:bCs/>
          <w:u w:val="single"/>
        </w:rPr>
        <w:t>Objective</w:t>
      </w:r>
      <w:r>
        <w:rPr>
          <w:rFonts w:cstheme="minorHAnsi"/>
          <w:b/>
          <w:bCs/>
          <w:u w:val="single"/>
        </w:rPr>
        <w:t>:</w:t>
      </w:r>
      <w:r>
        <w:rPr>
          <w:rFonts w:cstheme="minorHAnsi"/>
        </w:rPr>
        <w:t xml:space="preserve"> </w:t>
      </w:r>
      <w:r w:rsidR="00443A41">
        <w:rPr>
          <w:rFonts w:cstheme="minorHAnsi"/>
        </w:rPr>
        <w:t>Understand how</w:t>
      </w:r>
      <w:r>
        <w:rPr>
          <w:rFonts w:cstheme="minorHAnsi"/>
        </w:rPr>
        <w:t xml:space="preserve"> age</w:t>
      </w:r>
      <w:r w:rsidR="00AD6FB6">
        <w:rPr>
          <w:rFonts w:cstheme="minorHAnsi"/>
        </w:rPr>
        <w:t>,</w:t>
      </w:r>
      <w:r w:rsidR="007E6655">
        <w:rPr>
          <w:rFonts w:cstheme="minorHAnsi"/>
        </w:rPr>
        <w:t xml:space="preserve"> </w:t>
      </w:r>
      <w:r w:rsidR="00EE2041">
        <w:rPr>
          <w:rFonts w:cstheme="minorHAnsi"/>
        </w:rPr>
        <w:t>income,</w:t>
      </w:r>
      <w:r w:rsidR="007E6655">
        <w:rPr>
          <w:rFonts w:cstheme="minorHAnsi"/>
        </w:rPr>
        <w:t xml:space="preserve"> </w:t>
      </w:r>
      <w:r w:rsidR="00AD6FB6">
        <w:rPr>
          <w:rFonts w:cstheme="minorHAnsi"/>
        </w:rPr>
        <w:t xml:space="preserve">and urbanity </w:t>
      </w:r>
      <w:r>
        <w:rPr>
          <w:rFonts w:cstheme="minorHAnsi"/>
        </w:rPr>
        <w:t>correlate</w:t>
      </w:r>
      <w:r w:rsidR="00AD6FB6">
        <w:rPr>
          <w:rFonts w:cstheme="minorHAnsi"/>
        </w:rPr>
        <w:t>s</w:t>
      </w:r>
      <w:r>
        <w:rPr>
          <w:rFonts w:cstheme="minorHAnsi"/>
        </w:rPr>
        <w:t xml:space="preserve"> to adapt</w:t>
      </w:r>
      <w:r w:rsidR="007E6655">
        <w:rPr>
          <w:rFonts w:cstheme="minorHAnsi"/>
        </w:rPr>
        <w:t>iv</w:t>
      </w:r>
      <w:r w:rsidR="00443A41">
        <w:rPr>
          <w:rFonts w:cstheme="minorHAnsi"/>
        </w:rPr>
        <w:t>ity</w:t>
      </w:r>
      <w:r w:rsidR="007E6655">
        <w:rPr>
          <w:rFonts w:cstheme="minorHAnsi"/>
        </w:rPr>
        <w:t xml:space="preserve"> to financial </w:t>
      </w:r>
      <w:r w:rsidR="00443A41">
        <w:rPr>
          <w:rFonts w:cstheme="minorHAnsi"/>
        </w:rPr>
        <w:t>products</w:t>
      </w:r>
      <w:r w:rsidR="007E6655">
        <w:rPr>
          <w:rFonts w:cstheme="minorHAnsi"/>
        </w:rPr>
        <w:t xml:space="preserve"> like having a financial account, mobile money account, debit card or credit card</w:t>
      </w:r>
      <w:r w:rsidR="00443A41">
        <w:rPr>
          <w:rFonts w:cstheme="minorHAnsi"/>
        </w:rPr>
        <w:t>s and usage of these products.</w:t>
      </w:r>
    </w:p>
    <w:p w14:paraId="3F94E9FE" w14:textId="77777777" w:rsidR="00443A41" w:rsidRPr="009B5AA3" w:rsidRDefault="00443A41" w:rsidP="00E07774">
      <w:pPr>
        <w:ind w:left="415"/>
        <w:rPr>
          <w:rFonts w:cstheme="minorHAnsi"/>
          <w:b/>
          <w:bCs/>
          <w:u w:val="single"/>
        </w:rPr>
      </w:pPr>
    </w:p>
    <w:p w14:paraId="0F0ED5D8" w14:textId="51446907" w:rsidR="007E6655" w:rsidRDefault="00E07774" w:rsidP="00E07774">
      <w:pPr>
        <w:ind w:left="415"/>
        <w:rPr>
          <w:rFonts w:cstheme="minorHAnsi"/>
        </w:rPr>
      </w:pPr>
      <w:r w:rsidRPr="009B5AA3">
        <w:rPr>
          <w:rFonts w:cstheme="minorHAnsi"/>
          <w:b/>
          <w:bCs/>
          <w:u w:val="single"/>
        </w:rPr>
        <w:t>Hypothesis:</w:t>
      </w:r>
      <w:r>
        <w:rPr>
          <w:rFonts w:cstheme="minorHAnsi"/>
        </w:rPr>
        <w:t xml:space="preserve"> </w:t>
      </w:r>
      <w:r w:rsidR="007E6655">
        <w:rPr>
          <w:rFonts w:cstheme="minorHAnsi"/>
        </w:rPr>
        <w:t>Younger survey respondents are more likely to</w:t>
      </w:r>
      <w:r w:rsidR="00443A41">
        <w:rPr>
          <w:rFonts w:cstheme="minorHAnsi"/>
        </w:rPr>
        <w:t xml:space="preserve"> be more frequent </w:t>
      </w:r>
      <w:r w:rsidR="007E6655">
        <w:rPr>
          <w:rFonts w:cstheme="minorHAnsi"/>
        </w:rPr>
        <w:t>users of mobile money, and debit/credit cards</w:t>
      </w:r>
      <w:r w:rsidR="00443A41">
        <w:rPr>
          <w:rFonts w:cstheme="minorHAnsi"/>
        </w:rPr>
        <w:t xml:space="preserve"> and take advantage of different uses.</w:t>
      </w:r>
    </w:p>
    <w:p w14:paraId="5B784589" w14:textId="77777777" w:rsidR="007E6655" w:rsidRDefault="007E6655" w:rsidP="00E07774">
      <w:pPr>
        <w:ind w:left="415"/>
        <w:rPr>
          <w:rFonts w:cstheme="minorHAnsi"/>
        </w:rPr>
      </w:pPr>
    </w:p>
    <w:p w14:paraId="759D8DA9" w14:textId="488B0668" w:rsidR="00E07774" w:rsidRDefault="007E6655" w:rsidP="00E07774">
      <w:pPr>
        <w:ind w:left="415"/>
        <w:rPr>
          <w:rFonts w:cstheme="minorHAnsi"/>
        </w:rPr>
      </w:pPr>
      <w:r>
        <w:rPr>
          <w:rFonts w:cstheme="minorHAnsi"/>
        </w:rPr>
        <w:t>How is this also influenced by income and region/ cultural norms?</w:t>
      </w:r>
    </w:p>
    <w:p w14:paraId="6FE21159" w14:textId="77777777" w:rsidR="007E6655" w:rsidRDefault="007E6655" w:rsidP="00E07774">
      <w:pPr>
        <w:ind w:left="415"/>
        <w:rPr>
          <w:rFonts w:cstheme="minorHAnsi"/>
        </w:rPr>
      </w:pPr>
    </w:p>
    <w:p w14:paraId="48E121B6" w14:textId="3C75B9A7" w:rsidR="007E6655" w:rsidRPr="00563117" w:rsidRDefault="007E6655" w:rsidP="007E6655">
      <w:pPr>
        <w:ind w:left="415"/>
        <w:rPr>
          <w:rFonts w:cstheme="minorHAnsi"/>
        </w:rPr>
      </w:pPr>
      <w:r w:rsidRPr="009B5AA3">
        <w:rPr>
          <w:rFonts w:cstheme="minorHAnsi"/>
          <w:b/>
          <w:bCs/>
          <w:u w:val="single"/>
        </w:rPr>
        <w:t>Objective:</w:t>
      </w:r>
      <w:r w:rsidR="00563117">
        <w:rPr>
          <w:rFonts w:cstheme="minorHAnsi"/>
        </w:rPr>
        <w:t xml:space="preserve"> Understand what drives biggest financial concerns</w:t>
      </w:r>
      <w:r w:rsidR="00BF2367">
        <w:rPr>
          <w:rFonts w:cstheme="minorHAnsi"/>
        </w:rPr>
        <w:t xml:space="preserve"> across demographics: age, sex, education, urban/rural, and </w:t>
      </w:r>
      <w:r w:rsidR="00EE2041">
        <w:rPr>
          <w:rFonts w:cstheme="minorHAnsi"/>
        </w:rPr>
        <w:t>region and</w:t>
      </w:r>
      <w:r w:rsidR="00563117">
        <w:rPr>
          <w:rFonts w:cstheme="minorHAnsi"/>
        </w:rPr>
        <w:t xml:space="preserve"> how it relates to borrowing and saving.</w:t>
      </w:r>
    </w:p>
    <w:p w14:paraId="7FD71AA1" w14:textId="77777777" w:rsidR="007E6655" w:rsidRPr="009B5AA3" w:rsidRDefault="007E6655" w:rsidP="007E6655">
      <w:pPr>
        <w:ind w:left="415"/>
        <w:rPr>
          <w:rFonts w:cstheme="minorHAnsi"/>
          <w:b/>
          <w:bCs/>
          <w:u w:val="single"/>
        </w:rPr>
      </w:pPr>
    </w:p>
    <w:p w14:paraId="461F0302" w14:textId="5528F4F1" w:rsidR="007E6655" w:rsidRPr="00563117" w:rsidRDefault="007E6655" w:rsidP="007E6655">
      <w:pPr>
        <w:ind w:left="415"/>
        <w:rPr>
          <w:rFonts w:cstheme="minorHAnsi"/>
        </w:rPr>
      </w:pPr>
      <w:r w:rsidRPr="009B5AA3">
        <w:rPr>
          <w:rFonts w:cstheme="minorHAnsi"/>
          <w:b/>
          <w:bCs/>
          <w:u w:val="single"/>
        </w:rPr>
        <w:t>Hypothesis:</w:t>
      </w:r>
      <w:r w:rsidR="00563117">
        <w:rPr>
          <w:rFonts w:cstheme="minorHAnsi"/>
          <w:b/>
          <w:bCs/>
          <w:u w:val="single"/>
        </w:rPr>
        <w:t xml:space="preserve"> </w:t>
      </w:r>
      <w:r w:rsidR="00563117">
        <w:rPr>
          <w:rFonts w:cstheme="minorHAnsi"/>
        </w:rPr>
        <w:t xml:space="preserve">Those in lower income quintiles and who are dependent on government </w:t>
      </w:r>
      <w:r w:rsidR="00BF2367">
        <w:rPr>
          <w:rFonts w:cstheme="minorHAnsi"/>
        </w:rPr>
        <w:t xml:space="preserve">transfers of agricultural transfers </w:t>
      </w:r>
      <w:r w:rsidR="00563117">
        <w:rPr>
          <w:rFonts w:cstheme="minorHAnsi"/>
        </w:rPr>
        <w:t>are more likely to be concerned about fi</w:t>
      </w:r>
      <w:r w:rsidR="00BF2367">
        <w:rPr>
          <w:rFonts w:cstheme="minorHAnsi"/>
        </w:rPr>
        <w:t>nances.</w:t>
      </w:r>
    </w:p>
    <w:p w14:paraId="79EB5191" w14:textId="77777777" w:rsidR="00E07774" w:rsidRPr="00194165" w:rsidRDefault="00E07774" w:rsidP="00A73E58">
      <w:pPr>
        <w:ind w:left="415"/>
        <w:rPr>
          <w:rFonts w:cstheme="minorHAnsi"/>
        </w:rPr>
      </w:pPr>
    </w:p>
    <w:sectPr w:rsidR="00E07774" w:rsidRPr="00194165" w:rsidSect="009B5AA3">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80653" w14:textId="77777777" w:rsidR="00CA60FA" w:rsidRDefault="00CA60FA" w:rsidP="00CA60FA">
      <w:r>
        <w:separator/>
      </w:r>
    </w:p>
  </w:endnote>
  <w:endnote w:type="continuationSeparator" w:id="0">
    <w:p w14:paraId="20A279CB" w14:textId="77777777" w:rsidR="00CA60FA" w:rsidRDefault="00CA60FA" w:rsidP="00CA6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05BED" w14:textId="77777777" w:rsidR="00CA60FA" w:rsidRDefault="00CA60FA" w:rsidP="00CA60FA">
      <w:r>
        <w:separator/>
      </w:r>
    </w:p>
  </w:footnote>
  <w:footnote w:type="continuationSeparator" w:id="0">
    <w:p w14:paraId="5D94A122" w14:textId="77777777" w:rsidR="00CA60FA" w:rsidRDefault="00CA60FA" w:rsidP="00CA6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706A6"/>
    <w:multiLevelType w:val="hybridMultilevel"/>
    <w:tmpl w:val="201C1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6D6B10"/>
    <w:multiLevelType w:val="hybridMultilevel"/>
    <w:tmpl w:val="1EE6E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E03DDE"/>
    <w:multiLevelType w:val="hybridMultilevel"/>
    <w:tmpl w:val="858E2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67274"/>
    <w:multiLevelType w:val="hybridMultilevel"/>
    <w:tmpl w:val="3A32EFD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5CA91B96"/>
    <w:multiLevelType w:val="hybridMultilevel"/>
    <w:tmpl w:val="2CE82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0716180"/>
    <w:multiLevelType w:val="hybridMultilevel"/>
    <w:tmpl w:val="C284B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8180839">
    <w:abstractNumId w:val="3"/>
  </w:num>
  <w:num w:numId="2" w16cid:durableId="608784448">
    <w:abstractNumId w:val="4"/>
  </w:num>
  <w:num w:numId="3" w16cid:durableId="1495300059">
    <w:abstractNumId w:val="5"/>
  </w:num>
  <w:num w:numId="4" w16cid:durableId="1810710650">
    <w:abstractNumId w:val="1"/>
  </w:num>
  <w:num w:numId="5" w16cid:durableId="1571697117">
    <w:abstractNumId w:val="0"/>
  </w:num>
  <w:num w:numId="6" w16cid:durableId="1547257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8BA"/>
    <w:rsid w:val="00012114"/>
    <w:rsid w:val="000179B2"/>
    <w:rsid w:val="0003265B"/>
    <w:rsid w:val="00194165"/>
    <w:rsid w:val="001A4309"/>
    <w:rsid w:val="00232120"/>
    <w:rsid w:val="00381B50"/>
    <w:rsid w:val="00443A41"/>
    <w:rsid w:val="00562B93"/>
    <w:rsid w:val="00563117"/>
    <w:rsid w:val="00610A3B"/>
    <w:rsid w:val="00756FDE"/>
    <w:rsid w:val="007C1B91"/>
    <w:rsid w:val="007E6655"/>
    <w:rsid w:val="0086382C"/>
    <w:rsid w:val="009A18BA"/>
    <w:rsid w:val="009B5AA3"/>
    <w:rsid w:val="00A14F2D"/>
    <w:rsid w:val="00A73E58"/>
    <w:rsid w:val="00AD6FB6"/>
    <w:rsid w:val="00B934A7"/>
    <w:rsid w:val="00BF2367"/>
    <w:rsid w:val="00CA60FA"/>
    <w:rsid w:val="00D72747"/>
    <w:rsid w:val="00E07774"/>
    <w:rsid w:val="00EE2041"/>
    <w:rsid w:val="00FB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FC2E"/>
  <w15:chartTrackingRefBased/>
  <w15:docId w15:val="{C8E61032-01CD-DE4C-93DC-F857B79A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6FDE"/>
  </w:style>
  <w:style w:type="paragraph" w:styleId="ListParagraph">
    <w:name w:val="List Paragraph"/>
    <w:basedOn w:val="Normal"/>
    <w:uiPriority w:val="34"/>
    <w:qFormat/>
    <w:rsid w:val="0003265B"/>
    <w:pPr>
      <w:ind w:left="720"/>
      <w:contextualSpacing/>
    </w:pPr>
  </w:style>
  <w:style w:type="paragraph" w:styleId="Header">
    <w:name w:val="header"/>
    <w:basedOn w:val="Normal"/>
    <w:link w:val="HeaderChar"/>
    <w:uiPriority w:val="99"/>
    <w:unhideWhenUsed/>
    <w:rsid w:val="00CA60FA"/>
    <w:pPr>
      <w:tabs>
        <w:tab w:val="center" w:pos="4680"/>
        <w:tab w:val="right" w:pos="9360"/>
      </w:tabs>
    </w:pPr>
  </w:style>
  <w:style w:type="character" w:customStyle="1" w:styleId="HeaderChar">
    <w:name w:val="Header Char"/>
    <w:basedOn w:val="DefaultParagraphFont"/>
    <w:link w:val="Header"/>
    <w:uiPriority w:val="99"/>
    <w:rsid w:val="00CA60FA"/>
  </w:style>
  <w:style w:type="paragraph" w:styleId="Footer">
    <w:name w:val="footer"/>
    <w:basedOn w:val="Normal"/>
    <w:link w:val="FooterChar"/>
    <w:uiPriority w:val="99"/>
    <w:unhideWhenUsed/>
    <w:rsid w:val="00CA60FA"/>
    <w:pPr>
      <w:tabs>
        <w:tab w:val="center" w:pos="4680"/>
        <w:tab w:val="right" w:pos="9360"/>
      </w:tabs>
    </w:pPr>
  </w:style>
  <w:style w:type="character" w:customStyle="1" w:styleId="FooterChar">
    <w:name w:val="Footer Char"/>
    <w:basedOn w:val="DefaultParagraphFont"/>
    <w:link w:val="Footer"/>
    <w:uiPriority w:val="99"/>
    <w:rsid w:val="00CA6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04945-5DF9-C84D-BC8E-1F48AE343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seitz</dc:creator>
  <cp:keywords/>
  <dc:description/>
  <cp:lastModifiedBy>emily seitz</cp:lastModifiedBy>
  <cp:revision>2</cp:revision>
  <dcterms:created xsi:type="dcterms:W3CDTF">2023-11-26T04:13:00Z</dcterms:created>
  <dcterms:modified xsi:type="dcterms:W3CDTF">2023-11-26T04:13:00Z</dcterms:modified>
</cp:coreProperties>
</file>