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41C05" w14:textId="77777777" w:rsidR="005C378A" w:rsidRPr="0064296F" w:rsidRDefault="005C378A" w:rsidP="005C378A">
      <w:pPr>
        <w:rPr>
          <w:b/>
          <w:bCs/>
        </w:rPr>
      </w:pPr>
      <w:r w:rsidRPr="0064296F">
        <w:rPr>
          <w:b/>
          <w:bCs/>
        </w:rPr>
        <w:t>Development of a Multivariate Model for Predicting Injuries</w:t>
      </w:r>
      <w:r>
        <w:rPr>
          <w:b/>
          <w:bCs/>
        </w:rPr>
        <w:t xml:space="preserve"> in Palestine</w:t>
      </w:r>
      <w:r w:rsidRPr="0064296F">
        <w:rPr>
          <w:b/>
          <w:bCs/>
        </w:rPr>
        <w:t xml:space="preserve"> Based on Attack Type and Other Independent Factors</w:t>
      </w:r>
    </w:p>
    <w:p w14:paraId="38B39028" w14:textId="77777777" w:rsidR="005C378A" w:rsidRPr="008E5B0C" w:rsidRDefault="005C378A" w:rsidP="005C378A">
      <w:pPr>
        <w:rPr>
          <w:b/>
          <w:bCs/>
        </w:rPr>
      </w:pPr>
      <w:r w:rsidRPr="008E5B0C">
        <w:rPr>
          <w:b/>
          <w:bCs/>
        </w:rPr>
        <w:t>1. Introduction</w:t>
      </w:r>
    </w:p>
    <w:p w14:paraId="5BAE2C0B" w14:textId="77777777" w:rsidR="005C378A" w:rsidRDefault="005C378A" w:rsidP="005C378A">
      <w:r w:rsidRPr="00434770">
        <w:t>Predicting the number of injuries resulting from attacks is essential for resource allocation and emergency response</w:t>
      </w:r>
      <w:r>
        <w:t xml:space="preserve"> in the context of gauging reconstructive surgery need</w:t>
      </w:r>
      <w:r w:rsidRPr="00434770">
        <w:t xml:space="preserve">. </w:t>
      </w:r>
      <w:r>
        <w:t xml:space="preserve">We </w:t>
      </w:r>
      <w:r w:rsidRPr="00434770">
        <w:t>develop</w:t>
      </w:r>
      <w:r>
        <w:t>ed</w:t>
      </w:r>
      <w:r w:rsidRPr="00434770">
        <w:t xml:space="preserve"> a multivariate regression that estimates daily injury counts based on attack characteristics, such as attack type, </w:t>
      </w:r>
      <w:r>
        <w:t>population density</w:t>
      </w:r>
      <w:r w:rsidRPr="00434770">
        <w:t xml:space="preserve">, and other relevant independent variables. Given that multiple factors contribute to injury severity and frequency, a multivariate approach was chosen to capture </w:t>
      </w:r>
      <w:r w:rsidRPr="00B4755C">
        <w:t>the complex interactions between multiple contributing factors.</w:t>
      </w:r>
    </w:p>
    <w:p w14:paraId="43DC7DB5" w14:textId="77777777" w:rsidR="005C378A" w:rsidRDefault="005C378A" w:rsidP="005C378A"/>
    <w:p w14:paraId="7CCF6F2D" w14:textId="77777777" w:rsidR="005C378A" w:rsidRPr="007A238A" w:rsidRDefault="005C378A" w:rsidP="005C378A">
      <w:pPr>
        <w:rPr>
          <w:b/>
          <w:bCs/>
        </w:rPr>
      </w:pPr>
      <w:r>
        <w:rPr>
          <w:b/>
          <w:bCs/>
        </w:rPr>
        <w:t>2.</w:t>
      </w:r>
      <w:r w:rsidRPr="008E5B0C">
        <w:rPr>
          <w:b/>
          <w:bCs/>
        </w:rPr>
        <w:t xml:space="preserve"> Preliminary Modeling</w:t>
      </w:r>
    </w:p>
    <w:p w14:paraId="3CE91D2A" w14:textId="77777777" w:rsidR="005C378A" w:rsidRPr="008E5B0C" w:rsidRDefault="005C378A" w:rsidP="005C378A">
      <w:pPr>
        <w:rPr>
          <w:i/>
          <w:iCs/>
        </w:rPr>
      </w:pPr>
      <w:r>
        <w:rPr>
          <w:i/>
          <w:iCs/>
        </w:rPr>
        <w:t>2</w:t>
      </w:r>
      <w:r w:rsidRPr="008E5B0C">
        <w:rPr>
          <w:i/>
          <w:iCs/>
        </w:rPr>
        <w:t>.1 Number of Attacks x Attack Distance from Al-Shifa Hospital</w:t>
      </w:r>
    </w:p>
    <w:p w14:paraId="5610ABFF" w14:textId="77777777" w:rsidR="005C378A" w:rsidRDefault="005C378A" w:rsidP="005C378A">
      <w:r>
        <w:t>As an initial step, we constructed a preliminary model using two independent variables: Number of attacks per day (sourced from Ministry of Health daily reports) and Distance from Al-Shifa Hospital, the main medical complex in Gaza (calculated using the Euclidean distance between each attack location in the ACLED database and the hospital’s coordinates) (A.1).</w:t>
      </w:r>
    </w:p>
    <w:p w14:paraId="58A34A60" w14:textId="77777777" w:rsidR="005C378A" w:rsidRDefault="005C378A" w:rsidP="005C378A"/>
    <w:p w14:paraId="0B691E91" w14:textId="77777777" w:rsidR="005C378A" w:rsidRPr="002261C4" w:rsidRDefault="005C378A" w:rsidP="005C378A">
      <w:pPr>
        <w:rPr>
          <w:b/>
          <w:bCs/>
        </w:rPr>
      </w:pPr>
      <w:r>
        <w:rPr>
          <w:b/>
          <w:bCs/>
        </w:rPr>
        <w:t>3</w:t>
      </w:r>
      <w:r w:rsidRPr="002261C4">
        <w:rPr>
          <w:b/>
          <w:bCs/>
        </w:rPr>
        <w:t xml:space="preserve">. </w:t>
      </w:r>
      <w:r>
        <w:rPr>
          <w:b/>
          <w:bCs/>
        </w:rPr>
        <w:t>Descriptive Statistics - Methods</w:t>
      </w:r>
    </w:p>
    <w:p w14:paraId="5AC66469" w14:textId="77777777" w:rsidR="005C378A" w:rsidRPr="002261C4" w:rsidRDefault="005C378A" w:rsidP="005C378A">
      <w:pPr>
        <w:rPr>
          <w:i/>
          <w:iCs/>
        </w:rPr>
      </w:pPr>
      <w:r>
        <w:rPr>
          <w:i/>
          <w:iCs/>
        </w:rPr>
        <w:t>3</w:t>
      </w:r>
      <w:r w:rsidRPr="002261C4">
        <w:rPr>
          <w:i/>
          <w:iCs/>
        </w:rPr>
        <w:t>.1 Data Processing and Categorization</w:t>
      </w:r>
    </w:p>
    <w:p w14:paraId="0806F1C8" w14:textId="77777777" w:rsidR="005C378A" w:rsidRDefault="005C378A" w:rsidP="005C378A">
      <w:r>
        <w:t>To improve model performance, we categorized population density into three groups based on OCHA situational reports: High density (&gt; 20,000 people/km²), Medium density (5,000–20,000 people/km²), Low density (&lt; 5,000 people/km²). Infrastructure type was also classified into five categories using satellite imagery: Barren, Camp, Tent settlements, Suburban, Urban environments.</w:t>
      </w:r>
    </w:p>
    <w:p w14:paraId="0D762CC6" w14:textId="77777777" w:rsidR="005C378A" w:rsidRPr="002F1EB6" w:rsidRDefault="005C378A" w:rsidP="005C378A">
      <w:pPr>
        <w:rPr>
          <w:i/>
          <w:iCs/>
        </w:rPr>
      </w:pPr>
      <w:r>
        <w:rPr>
          <w:i/>
          <w:iCs/>
        </w:rPr>
        <w:t>3.2</w:t>
      </w:r>
      <w:r w:rsidRPr="002F1EB6">
        <w:rPr>
          <w:i/>
          <w:iCs/>
        </w:rPr>
        <w:t xml:space="preserve"> Model Selection </w:t>
      </w:r>
      <w:commentRangeStart w:id="0"/>
      <w:r w:rsidRPr="002F1EB6">
        <w:rPr>
          <w:i/>
          <w:iCs/>
        </w:rPr>
        <w:t>Criteria</w:t>
      </w:r>
      <w:commentRangeEnd w:id="0"/>
      <w:r>
        <w:rPr>
          <w:rStyle w:val="CommentReference"/>
        </w:rPr>
        <w:commentReference w:id="0"/>
      </w:r>
    </w:p>
    <w:p w14:paraId="09A0545E" w14:textId="77777777" w:rsidR="005C378A" w:rsidRPr="002F1EB6" w:rsidRDefault="005C378A" w:rsidP="005C378A">
      <w:r w:rsidRPr="002F1EB6">
        <w:t>To develop a robust predictive framework for estimating injury counts, we evaluated four multivariate models: Least-Squares Regression, a Generalized Poisson Linear Model, a Generalized Negative Binomial Model, and a Least Angle Regression Model (A.4). Given the nature of our dataset and the challenges posed by overdispersion, model selection was based on multiple statistical criteria to ensure both predictive accuracy and goodness-of-fit.</w:t>
      </w:r>
    </w:p>
    <w:p w14:paraId="66D1429C" w14:textId="77777777" w:rsidR="005C378A" w:rsidRPr="002F1EB6" w:rsidRDefault="005C378A" w:rsidP="005C378A">
      <w:r w:rsidRPr="002F1EB6">
        <w:t>The following metrics were used to evaluate model performance:</w:t>
      </w:r>
    </w:p>
    <w:p w14:paraId="04F537D0" w14:textId="77777777" w:rsidR="005C378A" w:rsidRPr="002F1EB6" w:rsidRDefault="005C378A" w:rsidP="005C378A">
      <w:pPr>
        <w:numPr>
          <w:ilvl w:val="0"/>
          <w:numId w:val="3"/>
        </w:numPr>
      </w:pPr>
      <w:r w:rsidRPr="002F1EB6">
        <w:t>Descriptive Statistics &amp; Goodness-of-Fit Measures:</w:t>
      </w:r>
    </w:p>
    <w:p w14:paraId="4E6AD192" w14:textId="77777777" w:rsidR="005C378A" w:rsidRPr="002F1EB6" w:rsidRDefault="005C378A" w:rsidP="005C378A">
      <w:pPr>
        <w:numPr>
          <w:ilvl w:val="1"/>
          <w:numId w:val="3"/>
        </w:numPr>
      </w:pPr>
      <w:r w:rsidRPr="002F1EB6">
        <w:t>R-squared (R²) and Adjusted R-squared (Adj. R²): Used for the Least-Squares Regression model to assess how well independent variables explain variation in injury counts. However, R² is less reliable in count-based data due to its assumptions of normality and constant variance.</w:t>
      </w:r>
    </w:p>
    <w:p w14:paraId="72F6B1EA" w14:textId="77777777" w:rsidR="005C378A" w:rsidRPr="002F1EB6" w:rsidRDefault="005C378A" w:rsidP="005C378A">
      <w:pPr>
        <w:numPr>
          <w:ilvl w:val="1"/>
          <w:numId w:val="3"/>
        </w:numPr>
      </w:pPr>
      <w:r w:rsidRPr="002F1EB6">
        <w:t>Pseudo R-squared: Applied to count models (Generalized Poisson and Generalized Negative Binomial) as an alternative measure of model fit. Higher values indicate better explanatory power.</w:t>
      </w:r>
    </w:p>
    <w:p w14:paraId="7D146314" w14:textId="77777777" w:rsidR="005C378A" w:rsidRPr="002F1EB6" w:rsidRDefault="005C378A" w:rsidP="005C378A">
      <w:pPr>
        <w:numPr>
          <w:ilvl w:val="1"/>
          <w:numId w:val="3"/>
        </w:numPr>
      </w:pPr>
      <w:r w:rsidRPr="002F1EB6">
        <w:t>Pearson Chi-Square: Assesses the discrepancy between observed and predicted values in count-based models, helping to evaluate model fit. Lower values generally indicate a better fit.</w:t>
      </w:r>
    </w:p>
    <w:p w14:paraId="1229E6E3" w14:textId="77777777" w:rsidR="005C378A" w:rsidRPr="002F1EB6" w:rsidRDefault="005C378A" w:rsidP="005C378A">
      <w:pPr>
        <w:numPr>
          <w:ilvl w:val="0"/>
          <w:numId w:val="3"/>
        </w:numPr>
      </w:pPr>
      <w:r w:rsidRPr="002F1EB6">
        <w:t>Statistical Significance &amp; Coefficients:</w:t>
      </w:r>
    </w:p>
    <w:p w14:paraId="6C8B463D" w14:textId="77777777" w:rsidR="005C378A" w:rsidRPr="002F1EB6" w:rsidRDefault="005C378A" w:rsidP="005C378A">
      <w:pPr>
        <w:numPr>
          <w:ilvl w:val="1"/>
          <w:numId w:val="3"/>
        </w:numPr>
      </w:pPr>
      <w:r w:rsidRPr="002F1EB6">
        <w:t>Coefficient Estimates &amp; Standard Errors: Coefficients were examined for their interpretability and magnitude, particularly for key independent variables such as attack type, population density, and infrastructure type. The standard errors provided insight into the precision of these estimates.</w:t>
      </w:r>
    </w:p>
    <w:p w14:paraId="36127FB5" w14:textId="77777777" w:rsidR="005C378A" w:rsidRPr="002F1EB6" w:rsidRDefault="005C378A" w:rsidP="005C378A">
      <w:pPr>
        <w:numPr>
          <w:ilvl w:val="1"/>
          <w:numId w:val="3"/>
        </w:numPr>
      </w:pPr>
      <w:r w:rsidRPr="002F1EB6">
        <w:t>P-values: Statistical significance of each variable was evaluated (p &lt; 0.05 as a threshold), ensuring that included predictors contributed meaningfully to the model.</w:t>
      </w:r>
    </w:p>
    <w:p w14:paraId="7EBA0BCE" w14:textId="77777777" w:rsidR="005C378A" w:rsidRPr="002F1EB6" w:rsidRDefault="005C378A" w:rsidP="005C378A">
      <w:pPr>
        <w:numPr>
          <w:ilvl w:val="0"/>
          <w:numId w:val="3"/>
        </w:numPr>
      </w:pPr>
      <w:r w:rsidRPr="002F1EB6">
        <w:t>Handling Overdispersion:</w:t>
      </w:r>
    </w:p>
    <w:p w14:paraId="4263E1DC" w14:textId="77777777" w:rsidR="005C378A" w:rsidRPr="002F1EB6" w:rsidRDefault="005C378A" w:rsidP="005C378A">
      <w:pPr>
        <w:numPr>
          <w:ilvl w:val="1"/>
          <w:numId w:val="3"/>
        </w:numPr>
      </w:pPr>
      <w:r w:rsidRPr="002F1EB6">
        <w:lastRenderedPageBreak/>
        <w:t>Overdispersion, where the variance exceeds the mean, was a key consideration in model selection. The Generalized Poisson Model and Generalized Negative Binomial Model were specifically evaluated to account for this issue, as they provide more flexibility in modeling count data with high variance.</w:t>
      </w:r>
    </w:p>
    <w:p w14:paraId="0CDC90DD" w14:textId="77777777" w:rsidR="005C378A" w:rsidRPr="002F1EB6" w:rsidRDefault="005C378A" w:rsidP="005C378A">
      <w:pPr>
        <w:numPr>
          <w:ilvl w:val="0"/>
          <w:numId w:val="3"/>
        </w:numPr>
      </w:pPr>
      <w:r w:rsidRPr="002F1EB6">
        <w:t>Predictive Stability &amp; Confidence Intervals:</w:t>
      </w:r>
    </w:p>
    <w:p w14:paraId="04AE1CE5" w14:textId="77777777" w:rsidR="005C378A" w:rsidRPr="002F1EB6" w:rsidRDefault="005C378A" w:rsidP="005C378A">
      <w:pPr>
        <w:numPr>
          <w:ilvl w:val="1"/>
          <w:numId w:val="3"/>
        </w:numPr>
      </w:pPr>
      <w:r w:rsidRPr="002F1EB6">
        <w:t>The width of the 95% confidence intervals for predicted injury counts and predicted required surgeries was considered. Narrower intervals suggest more precise predictions, while excessively wide intervals indicate high variability and potential instability in the model.</w:t>
      </w:r>
    </w:p>
    <w:p w14:paraId="26972FEB" w14:textId="77777777" w:rsidR="005C378A" w:rsidRPr="002F1EB6" w:rsidRDefault="005C378A" w:rsidP="005C378A">
      <w:r w:rsidRPr="002F1EB6">
        <w:t>Based on these criteria, the Generalized Negative Binomial Model was selected as the final predictive framework, as it effectively accounted for overdispersion while maintaining a strong model fit across statistical metrics.</w:t>
      </w:r>
    </w:p>
    <w:p w14:paraId="11162317" w14:textId="77777777" w:rsidR="005C378A" w:rsidRPr="00D741D3" w:rsidRDefault="005C378A" w:rsidP="005C378A">
      <w:pPr>
        <w:rPr>
          <w:i/>
          <w:iCs/>
        </w:rPr>
      </w:pPr>
      <w:r>
        <w:rPr>
          <w:i/>
          <w:iCs/>
        </w:rPr>
        <w:t>3</w:t>
      </w:r>
      <w:r w:rsidRPr="00D741D3">
        <w:rPr>
          <w:i/>
          <w:iCs/>
        </w:rPr>
        <w:t>.</w:t>
      </w:r>
      <w:r>
        <w:rPr>
          <w:i/>
          <w:iCs/>
        </w:rPr>
        <w:t>3</w:t>
      </w:r>
      <w:r w:rsidRPr="00D741D3">
        <w:rPr>
          <w:i/>
          <w:iCs/>
        </w:rPr>
        <w:t xml:space="preserve"> </w:t>
      </w:r>
      <w:r>
        <w:rPr>
          <w:i/>
          <w:iCs/>
        </w:rPr>
        <w:t>Selection of Independent Variables</w:t>
      </w:r>
    </w:p>
    <w:p w14:paraId="194CDF3B" w14:textId="77777777" w:rsidR="005C378A" w:rsidRDefault="005C378A" w:rsidP="005C378A">
      <w:r>
        <w:t xml:space="preserve">The selection of independent variables was guided by prior research, situational reports, and structured attack databases such as the Armed Conflict Location &amp; Event Data Project (ACLED). We hypothesized that that the following factors could potentially significantly influence injury counts: Attack type (e.g., airstrikes, shelling, armed clashes), Number of attacks per day, Population density of the affected region, Proximity to hospitals, Attack location and infrastructure, and Time of day. This model incorporated the following independent variables: Attack type (5 categorical variables), Mean population density, and Infrastructure type (5 categorical variables). For each attack listed in the ACLED database, each was categorized into one of the five following standardized groupings: Airdrone attacks, Shelling/artillery attacks, Ground attacks, Civil unrest, and Other attack types. Likewise, each attack was also assigned to an Infrastructure type from the five groupings: urban, suburban, rural, tent, or camp. </w:t>
      </w:r>
    </w:p>
    <w:p w14:paraId="351CA4EA" w14:textId="77777777" w:rsidR="005C378A" w:rsidRPr="00311024" w:rsidRDefault="005C378A" w:rsidP="005C378A">
      <w:pPr>
        <w:rPr>
          <w:i/>
          <w:iCs/>
        </w:rPr>
      </w:pPr>
      <w:commentRangeStart w:id="1"/>
      <w:r w:rsidRPr="00311024">
        <w:rPr>
          <w:i/>
          <w:iCs/>
        </w:rPr>
        <w:t>3.4 Computational Modeling</w:t>
      </w:r>
      <w:commentRangeEnd w:id="1"/>
      <w:r>
        <w:rPr>
          <w:rStyle w:val="CommentReference"/>
        </w:rPr>
        <w:commentReference w:id="1"/>
      </w:r>
    </w:p>
    <w:p w14:paraId="26EF6D9D" w14:textId="77777777" w:rsidR="005C378A" w:rsidRDefault="005C378A" w:rsidP="005C378A">
      <w:r>
        <w:t>All statistical analyses and model implementations were conducted using Python within the VS Code environment, utilizing Jupyter Notebook for interactive computation and visualization. The models were trained on one year of injury data (October 2023 – October 2024) and subsequently used to predict injury counts through January 2025. The models were implemented using the Statsmodels library (v. 3.12.2), specifically leveraging its suite of regression and count-based modeling tools.</w:t>
      </w:r>
    </w:p>
    <w:p w14:paraId="4A4CFA40" w14:textId="77777777" w:rsidR="005C378A" w:rsidRDefault="005C378A" w:rsidP="005C378A"/>
    <w:p w14:paraId="06293767" w14:textId="77777777" w:rsidR="005C378A" w:rsidRPr="00A804BC" w:rsidRDefault="005C378A" w:rsidP="005C378A">
      <w:pPr>
        <w:rPr>
          <w:b/>
          <w:bCs/>
        </w:rPr>
      </w:pPr>
      <w:r>
        <w:rPr>
          <w:b/>
          <w:bCs/>
        </w:rPr>
        <w:t>4</w:t>
      </w:r>
      <w:r w:rsidRPr="00A804BC">
        <w:rPr>
          <w:b/>
          <w:bCs/>
        </w:rPr>
        <w:t xml:space="preserve">. </w:t>
      </w:r>
      <w:r>
        <w:rPr>
          <w:b/>
          <w:bCs/>
        </w:rPr>
        <w:t>Results/</w:t>
      </w:r>
      <w:r w:rsidRPr="00A804BC">
        <w:rPr>
          <w:b/>
          <w:bCs/>
        </w:rPr>
        <w:t>Discussion</w:t>
      </w:r>
    </w:p>
    <w:p w14:paraId="763F2F33" w14:textId="77777777" w:rsidR="005C378A" w:rsidRDefault="005C378A" w:rsidP="005C378A">
      <w:pPr>
        <w:rPr>
          <w:i/>
          <w:iCs/>
        </w:rPr>
      </w:pPr>
      <w:commentRangeStart w:id="2"/>
      <w:r>
        <w:rPr>
          <w:i/>
          <w:iCs/>
        </w:rPr>
        <w:t xml:space="preserve">4.1 Rationale Behind Variable Selection – Challenges and Final Justification of Methods and </w:t>
      </w:r>
      <w:r w:rsidRPr="7722F739">
        <w:rPr>
          <w:i/>
          <w:iCs/>
        </w:rPr>
        <w:t>Se</w:t>
      </w:r>
      <w:commentRangeEnd w:id="2"/>
      <w:r>
        <w:rPr>
          <w:rStyle w:val="CommentReference"/>
        </w:rPr>
        <w:commentReference w:id="2"/>
      </w:r>
      <w:r w:rsidRPr="7722F739">
        <w:rPr>
          <w:i/>
          <w:iCs/>
        </w:rPr>
        <w:t>lection</w:t>
      </w:r>
    </w:p>
    <w:p w14:paraId="7102ADFC" w14:textId="77777777" w:rsidR="005C378A" w:rsidRDefault="005C378A" w:rsidP="005C378A">
      <w:r>
        <w:t>Due to the lack of reliable, standardized protocols for reporting civilian injury or death during wartime, data collection remains inconsistent and susceptible to bias and underreporting [https://doi.org/10.1186/s13049-024-01299-7 and https://pmc.ncbi.nlm.nih.gov/articles/PMC10450422/]. Given the variability in conflict reporting and the complexity of factors contributing to injury outcomes, our selection of independent variables was guided by both statistical considerations and medical-planning applicability. Our primary goal was to construct a model that could effectively predict injury counts while incorporating measurable and interpretable variables that potentially influence these counts</w:t>
      </w:r>
      <w:commentRangeStart w:id="3"/>
      <w:r>
        <w:t>.</w:t>
      </w:r>
      <w:commentRangeEnd w:id="3"/>
      <w:r>
        <w:rPr>
          <w:rStyle w:val="CommentReference"/>
        </w:rPr>
        <w:commentReference w:id="3"/>
      </w:r>
      <w:r>
        <w:t xml:space="preserve"> </w:t>
      </w:r>
    </w:p>
    <w:p w14:paraId="0ED9A37F" w14:textId="77777777" w:rsidR="005C378A" w:rsidRPr="008C20D9" w:rsidRDefault="005C378A" w:rsidP="005C378A">
      <w:r>
        <w:t>An effective medical response pertaining to modern warfare depends on a multitude of factors such as terrain, type of weaponry, time, medical service availability and nature of operations (https://dx.doi.org/10.1093/milmed/usab108). However, defining and selecting variables posed a challenge due to the unprecedented and inherently unpredictable nature of modern warfare. The Israeli-Palestinian conflict differs from traditional state-on-state warfare in that it is highly asymmetric, irregular, and urbanized [https://www.aljazeera.com/news/2023/11/6/analysis-hamass-asymmetric-warfare-against-israel-lessons-from-ukraine, https://asjp.cerist.dz/en/article/255794], resembling guerilla warfare with fast-moving frontlines, non-conventional combatants, and prominent civilian involvement. Conventional variables typically studied and quantified to predict injury and fatalities numbers not only lack in available open-source data but also struggle to fully capture the unpredictable and decentralized nature of violence in this conflict (</w:t>
      </w:r>
      <w:hyperlink r:id="rId10">
        <w:r w:rsidRPr="325D1131">
          <w:rPr>
            <w:rStyle w:val="Hyperlink"/>
          </w:rPr>
          <w:t>https://doi.org/10.3389/fpubh.2021.765261</w:t>
        </w:r>
      </w:hyperlink>
      <w:r>
        <w:t xml:space="preserve"> ,</w:t>
      </w:r>
      <w:hyperlink r:id="rId11">
        <w:r w:rsidRPr="325D1131">
          <w:rPr>
            <w:rStyle w:val="Hyperlink"/>
          </w:rPr>
          <w:t>https://doi.org/10.1136/bmj.a137</w:t>
        </w:r>
      </w:hyperlink>
      <w:r>
        <w:t>). The lack of available quantifiable variables made it necessary to develop a more flexible</w:t>
      </w:r>
      <w:del w:id="4" w:author="Elaine Lin" w:date="2025-04-03T22:26:00Z">
        <w:r w:rsidDel="005B764E">
          <w:delText>,</w:delText>
        </w:r>
        <w:commentRangeStart w:id="5"/>
        <w:commentRangeStart w:id="6"/>
        <w:r w:rsidDel="005B764E">
          <w:delText xml:space="preserve"> </w:delText>
        </w:r>
        <w:r w:rsidDel="00A23E39">
          <w:delText>alternative</w:delText>
        </w:r>
        <w:r w:rsidDel="005B764E">
          <w:delText xml:space="preserve"> </w:delText>
        </w:r>
      </w:del>
      <w:commentRangeEnd w:id="5"/>
      <w:r>
        <w:rPr>
          <w:rStyle w:val="CommentReference"/>
        </w:rPr>
        <w:commentReference w:id="5"/>
      </w:r>
      <w:commentRangeEnd w:id="6"/>
      <w:r>
        <w:rPr>
          <w:rStyle w:val="CommentReference"/>
        </w:rPr>
        <w:commentReference w:id="6"/>
      </w:r>
      <w:r>
        <w:t xml:space="preserve">approach. </w:t>
      </w:r>
    </w:p>
    <w:p w14:paraId="4E61F7DB" w14:textId="77777777" w:rsidR="005C378A" w:rsidRDefault="005C378A" w:rsidP="005C378A">
      <w:r>
        <w:t xml:space="preserve">Attack type was chosen as a </w:t>
      </w:r>
      <w:del w:id="7" w:author="Elaine Lin" w:date="2025-04-03T22:26:00Z">
        <w:r w:rsidDel="008C20D9">
          <w:delText xml:space="preserve">core </w:delText>
        </w:r>
      </w:del>
      <w:r>
        <w:t xml:space="preserve">variable due to evidence showing its potential influence on the proportion, scale and severity of injuries and casualties in past conflicts (https://doi.org/10.1186/s13031-020-0252-7, doi:10.1001/jamainternmed.2017.5723, doi: 10.1097/TA.0b013e31829a0970, https://books.google.com/books/about/Analysis_of_Casualty_Rates_Patterns_Like.html?id=xDoUzwEACAAJ). Airborne attacks, including drone strikes and bomb shelling, often result in mass injuries and casualties due to their large-area impact, a pattern historically observed in conflicts where air superiority and </w:t>
      </w:r>
      <w:r>
        <w:lastRenderedPageBreak/>
        <w:t>strategic bombing played a dominant role (doi: </w:t>
      </w:r>
      <w:hyperlink r:id="rId12">
        <w:r w:rsidRPr="325D1131">
          <w:rPr>
            <w:rStyle w:val="Hyperlink"/>
          </w:rPr>
          <w:t>10.1097/TA.0000000000004063</w:t>
        </w:r>
      </w:hyperlink>
      <w:r>
        <w:t xml:space="preserve">, </w:t>
      </w:r>
      <w:hyperlink r:id="rId13">
        <w:r w:rsidRPr="325D1131">
          <w:rPr>
            <w:rStyle w:val="Hyperlink"/>
          </w:rPr>
          <w:t>https://doi.org/10.1093/milmed/usab108</w:t>
        </w:r>
      </w:hyperlink>
      <w:r>
        <w:t xml:space="preserve">, </w:t>
      </w:r>
      <w:hyperlink r:id="rId14">
        <w:r w:rsidRPr="325D1131">
          <w:rPr>
            <w:rStyle w:val="Hyperlink"/>
          </w:rPr>
          <w:t>https://doi.org/10.1177/2053168020972816</w:t>
        </w:r>
      </w:hyperlink>
      <w:r>
        <w:t>). On the contrary, ground attacks and combat typically involve more localized engagements, although can nonetheless still result in widespread, severe injury (DOI: 10.1097/01.TA.0000057151.02906.27, doi: </w:t>
      </w:r>
      <w:hyperlink r:id="rId15">
        <w:r w:rsidRPr="325D1131">
          <w:rPr>
            <w:rStyle w:val="Hyperlink"/>
          </w:rPr>
          <w:t>10.1097/TA.0000000000004063</w:t>
        </w:r>
      </w:hyperlink>
      <w:r>
        <w:t>). An extensive literature review conducted by Aboutanos et. al. found that traumatic injuries afflicted upon civilians in recent wars and conflicts have shown a trend of explosive devices such as artillery shells to have c</w:t>
      </w:r>
      <w:commentRangeStart w:id="8"/>
      <w:r>
        <w:t>aused the greatest proportion of injuries [https:</w:t>
      </w:r>
      <w:commentRangeEnd w:id="8"/>
      <w:r>
        <w:rPr>
          <w:rStyle w:val="CommentReference"/>
        </w:rPr>
        <w:commentReference w:id="8"/>
      </w:r>
      <w:r>
        <w:t>//pubmed.ncbi.nlm.nih.gov/9356079/], a trend that may be exacerbated due to the rise of new advances in weaponry such as improvised explosive devices (IEDs) (</w:t>
      </w:r>
      <w:hyperlink r:id="rId16">
        <w:r w:rsidRPr="325D1131">
          <w:rPr>
            <w:rStyle w:val="Hyperlink"/>
          </w:rPr>
          <w:t>https://doi.org/10.1093/milmed/usac366</w:t>
        </w:r>
      </w:hyperlink>
      <w:r>
        <w:t xml:space="preserve">). However, in the context of the ongoing Gazan conflict, no existing reports comprehensively analyze the relationship between attack types and injury patterns. Furthermore, the distinct nature of the conflict limits the applicability of prior conflict data on attack patterns, making it challenging to draw direct conclusions for injury count predictions. Distinguishing between attack types also proved challenging due to inconsistent classification in reports. As a result, we standardized ACLED attack event type classifications into categories that serve as meaningful classifications in predicting injury count. </w:t>
      </w:r>
    </w:p>
    <w:p w14:paraId="1F6E79A8" w14:textId="77777777" w:rsidR="005C378A" w:rsidRDefault="005C378A" w:rsidP="005C378A">
      <w:r w:rsidRPr="005B2A38">
        <w:t xml:space="preserve">Infrastructure type and population density were also included as key variables because they potentially influence both the likelihood and scale of injuries. Infrastructure type was categorized based on land use classifications (e.g., urban, rural, camp, </w:t>
      </w:r>
      <w:r>
        <w:t>etc.</w:t>
      </w:r>
      <w:r w:rsidRPr="005B2A38">
        <w:t>), while population density was quantified as the number of inhabitants per square kilometer within the affected area</w:t>
      </w:r>
      <w:r>
        <w:t xml:space="preserve">. </w:t>
      </w:r>
    </w:p>
    <w:p w14:paraId="6C3DE77D" w14:textId="77777777" w:rsidR="005C378A" w:rsidRDefault="005C378A" w:rsidP="005C378A">
      <w:r>
        <w:t xml:space="preserve">Infrastructure type was particularly important because different forms of infrastructure are targeted differently in conflict, with varying consequences for civilians. </w:t>
      </w:r>
      <w:r w:rsidRPr="00F558D5">
        <w:t xml:space="preserve">Attacks on residential areas often lead to high injury counts due to the dense presence of civilians, whereas strikes on industrial or critical infrastructure can trigger </w:t>
      </w:r>
      <w:r>
        <w:t>s</w:t>
      </w:r>
      <w:r w:rsidRPr="00F558D5">
        <w:t>tructural collapses, compounding injury severity and increasing the need for reconstructive surgical intervention.</w:t>
      </w:r>
      <w:r>
        <w:t xml:space="preserve"> Additionally, the destruction of medical infrastructure, such as hospitals and clinics, exacerbates injury severity by limiting access to emergency treatment, increasing the likelihood of preventable deaths (</w:t>
      </w:r>
      <w:r w:rsidRPr="004C5F77">
        <w:t>https://pchrgaza.org/gaza-strips-health-sector-under-israeli-military-aggression-and-closure/</w:t>
      </w:r>
      <w:r>
        <w:t xml:space="preserve">). Urban areas, for example, tend to have denser populations and more critical infrastructure (e.g., residential buildings, hospitals, and transportation hubs), making attacks in these locations more likely to result in high injury counts. </w:t>
      </w:r>
      <w:r w:rsidRPr="007B5A2F">
        <w:t>The London-based NGO Airwars has documented a strong correlation between the use of explosive weapons in urban areas and high civilian casualty and injury rates, as observed through conflict monitoring in Iraq and Syria (</w:t>
      </w:r>
      <w:hyperlink r:id="rId17" w:tgtFrame="_new" w:history="1">
        <w:r w:rsidRPr="007B5A2F">
          <w:rPr>
            <w:rStyle w:val="Hyperlink"/>
          </w:rPr>
          <w:t>https://airwars.org/wp-content/uploads/2018/05/Airwars-Death-in-the-City-web.pdf</w:t>
        </w:r>
      </w:hyperlink>
      <w:r w:rsidRPr="007B5A2F">
        <w:t>).</w:t>
      </w:r>
      <w:r>
        <w:t xml:space="preserve"> Conversely, rural or sparsely populated areas may experience attacks that are less deadly in absolute numbers but still devastating due to limited access to emergency medical care and evacuation routes. Surprisingly, Hoglund and colleagues found that armed conflicts are becoming increasingly more prominent in rural locations as opposed to urban regions, leading to greater casualty numbers (</w:t>
      </w:r>
      <w:r w:rsidRPr="00433103">
        <w:t>https://link.springer.com/chapter/10.1057/9781137550484_4</w:t>
      </w:r>
      <w:r>
        <w:t>).</w:t>
      </w:r>
    </w:p>
    <w:p w14:paraId="1DE68EDD" w14:textId="77777777" w:rsidR="005C378A" w:rsidRPr="00A32556" w:rsidRDefault="005C378A" w:rsidP="005C378A">
      <w:r w:rsidRPr="00A32556">
        <w:t>Additionally, infrastructure type may influence injury mechanisms, which is crucial for quantifying and assessing reconstructive surgical needs. For instance, a study by Satanovsky et al. analyzed injury patterns among infantry soldiers in two previous Gaza operations, revealing that lower extremity injuries were more prevalent in open terrain, whereas head trauma and blast injuries were more common in urban environments (</w:t>
      </w:r>
      <w:hyperlink r:id="rId18" w:tgtFrame="_new" w:history="1">
        <w:r w:rsidRPr="00A32556">
          <w:rPr>
            <w:rStyle w:val="Hyperlink"/>
          </w:rPr>
          <w:t>https://doi.org/10.1093/milmed/usac366</w:t>
        </w:r>
      </w:hyperlink>
      <w:r w:rsidRPr="00A32556">
        <w:t>). Given that certain injuries necessitate reconstructive surgery more than others, the demand for such procedures is likely not uniform but instead skewed toward injuries associated with specific infrastructure types.</w:t>
      </w:r>
    </w:p>
    <w:p w14:paraId="31036FDB" w14:textId="77777777" w:rsidR="005C378A" w:rsidRDefault="005C378A" w:rsidP="005C378A">
      <w:r>
        <w:t>Population density was selected to account for the concentration of civilians in targeted areas, which significantly influences injury numbers. “Conflict exposure” quantifies the number of people who experience exposure to an attack event (</w:t>
      </w:r>
      <w:r w:rsidRPr="002F1D7E">
        <w:t>https://acleddata.com/conflict-exposure/</w:t>
      </w:r>
      <w:r>
        <w:t>). High-density population settings tend to amplify the human impact of attacks, as more people are likely to be present at the point of impact (</w:t>
      </w:r>
      <w:r w:rsidRPr="00360576">
        <w:t>https://unocha.exposure.co/the-impact-of-conflict-in-numbersnbsp</w:t>
      </w:r>
      <w:r>
        <w:t>). Additionally, these environments often present challenges for emergency response efforts, as damaged roads, blocked evacuation routes, and overwhelmed hospitals can delay life-saving medical care. This is particularly relevant in conflicts where civilian displacement is ongoing, as population density fluctuates dynamically due to mass migration, leading to inconsistencies in injury and casualty estimates.</w:t>
      </w:r>
    </w:p>
    <w:p w14:paraId="6BE6E78B" w14:textId="77777777" w:rsidR="005C378A" w:rsidRDefault="005C378A" w:rsidP="005C378A">
      <w:r w:rsidRPr="00C565DB">
        <w:t xml:space="preserve">Given the challenge of obtaining standardized data on infrastructure and population density during an active conflict, we integrated multiple data sources, including satellite imagery and publicly available geospatial datasets, to approximate these variables. This information was then consolidated to align with the relevant time span for analysis. </w:t>
      </w:r>
      <w:r>
        <w:t>A multiple source/database integration approach is commonly leveraged by several studies in predicting injury or casualties as a result of war (</w:t>
      </w:r>
      <w:r w:rsidRPr="00B011FA">
        <w:t>https://doi.org/10.1016/ S0140-6736(24)02678-3</w:t>
      </w:r>
      <w:r>
        <w:t xml:space="preserve">, </w:t>
      </w:r>
      <w:hyperlink r:id="rId19" w:history="1">
        <w:r w:rsidRPr="00A7681A">
          <w:rPr>
            <w:rStyle w:val="Hyperlink"/>
          </w:rPr>
          <w:t>https://doi.org/10.1073/pnas.2307372120</w:t>
        </w:r>
      </w:hyperlink>
      <w:r>
        <w:t xml:space="preserve">). </w:t>
      </w:r>
    </w:p>
    <w:p w14:paraId="144DA82D" w14:textId="77777777" w:rsidR="005C378A" w:rsidRPr="003979F0" w:rsidRDefault="005C378A" w:rsidP="005C378A"/>
    <w:p w14:paraId="02397063" w14:textId="77777777" w:rsidR="005C378A" w:rsidRPr="00874B00" w:rsidRDefault="005C378A" w:rsidP="005C378A">
      <w:pPr>
        <w:rPr>
          <w:i/>
          <w:iCs/>
        </w:rPr>
      </w:pPr>
      <w:r w:rsidRPr="00E83BE9">
        <w:rPr>
          <w:i/>
          <w:iCs/>
          <w:highlight w:val="yellow"/>
        </w:rPr>
        <w:t>4.2 Key Correlative Findings from Model</w:t>
      </w:r>
      <w:r>
        <w:rPr>
          <w:i/>
          <w:iCs/>
        </w:rPr>
        <w:t xml:space="preserve"> </w:t>
      </w:r>
    </w:p>
    <w:p w14:paraId="7099359E" w14:textId="77777777" w:rsidR="005C378A" w:rsidRDefault="005C378A" w:rsidP="005C378A">
      <w:r w:rsidRPr="00A804BC">
        <w:t xml:space="preserve">Our findings demonstrate that a multivariate approach is essential for accurately predicting injury counts resulting from attacks, as multiple interacting factors contribute to the variability in </w:t>
      </w:r>
      <w:r>
        <w:t xml:space="preserve">injury </w:t>
      </w:r>
      <w:r w:rsidRPr="00A804BC">
        <w:t xml:space="preserve">outcomes. </w:t>
      </w:r>
      <w:r w:rsidRPr="008B563F">
        <w:t xml:space="preserve">Each model was assessed based on statistical fit metrics and predictive performance. The Least-Squares Regression model yielded an R-squared value of 0.303, indicating a moderate linear relationship between independent variables and injury count, though its adjusted R-squared (0.267) suggested limited generalizability. The Generalized Poisson model demonstrated a strong fit to the data, </w:t>
      </w:r>
      <w:r w:rsidRPr="008B563F">
        <w:lastRenderedPageBreak/>
        <w:t xml:space="preserve">with a pseudo R-squared of 1.000 and a Pearson chi-squared statistic of 5.38e+04, </w:t>
      </w:r>
      <w:r>
        <w:t xml:space="preserve">despite </w:t>
      </w:r>
      <w:r w:rsidRPr="008B563F">
        <w:t>suggesting potential overfitting. The Generalized Negative Binomial Model mitigated this issue, achieving a pseudo R-squared of 0.5533 while accounting for overdispersion with a Pearson chi-squared statistic of 135.</w:t>
      </w:r>
    </w:p>
    <w:p w14:paraId="40AADC52" w14:textId="77777777" w:rsidR="005C378A" w:rsidRPr="00A804BC" w:rsidRDefault="005C378A" w:rsidP="005C378A">
      <w:r w:rsidRPr="00A804BC">
        <w:t>The Negative Binomial regression model provided the most reliable results, effectively addressing the overdispersion in the data and significantly outperforming both the Least-Squares Regression model (R² = 0.303) and the Poisson Regression model (Pseudo R² = 1.000), which exhibited overfitting. The predictive power of the final model suggests that attack type, population density, and infrastructure characteristics play critical roles in determining injury severity.</w:t>
      </w:r>
    </w:p>
    <w:p w14:paraId="75D3122C" w14:textId="77777777" w:rsidR="005C378A" w:rsidRPr="0053666E" w:rsidRDefault="005C378A" w:rsidP="005C378A">
      <w:pPr>
        <w:rPr>
          <w:color w:val="FF0000"/>
        </w:rPr>
      </w:pPr>
      <w:r w:rsidRPr="0053666E">
        <w:rPr>
          <w:color w:val="FF0000"/>
        </w:rPr>
        <w:t>A</w:t>
      </w:r>
      <w:commentRangeStart w:id="9"/>
      <w:r w:rsidRPr="0053666E">
        <w:rPr>
          <w:color w:val="FF0000"/>
        </w:rPr>
        <w:t xml:space="preserve"> key finding from our mode</w:t>
      </w:r>
      <w:commentRangeEnd w:id="9"/>
      <w:r w:rsidRPr="0053666E">
        <w:rPr>
          <w:rStyle w:val="CommentReference"/>
          <w:color w:val="FF0000"/>
        </w:rPr>
        <w:commentReference w:id="9"/>
      </w:r>
      <w:r w:rsidRPr="0053666E">
        <w:rPr>
          <w:color w:val="FF0000"/>
        </w:rPr>
        <w:t>l was the strong association between attack type and injury severity. Airborne attacks, such as airdrone strikes and shelling, were the most significant predictors of higher injury counts, likely due to their potential for large-scale destruction and indiscriminate targeting in densely populated areas. Ground attacks and incidents categorized as civil unrest exhibited weaker but still relevant associations, indicating that while direct engagement events result in casualties, they tend to produce fewer injuries per incident compared to aerial bombardment. The strong positive correlation between population density and injury counts further supports the hypothesis that attacks in urban areas result in significantly more injuries, consistent with prior research on conflict impact in densely populated regions. Similarly, infrastructure type was found to contribute to injury outcomes, with urban environments showing higher casualties than barren or tented areas, likely due to both population concentration and structural vulnerabilities.</w:t>
      </w:r>
    </w:p>
    <w:p w14:paraId="3D6D20C3" w14:textId="77777777" w:rsidR="005C378A" w:rsidRPr="00CF1A0C" w:rsidRDefault="005C378A" w:rsidP="005C378A">
      <w:pPr>
        <w:rPr>
          <w:i/>
          <w:iCs/>
          <w:color w:val="FFC000"/>
        </w:rPr>
      </w:pPr>
      <w:r w:rsidRPr="00CF1A0C">
        <w:rPr>
          <w:i/>
          <w:iCs/>
          <w:color w:val="FFC000"/>
        </w:rPr>
        <w:t>4.3 I</w:t>
      </w:r>
      <w:commentRangeStart w:id="10"/>
      <w:r w:rsidRPr="00CF1A0C">
        <w:rPr>
          <w:i/>
          <w:iCs/>
          <w:color w:val="FFC000"/>
        </w:rPr>
        <w:t>nteraction Factor Analysis</w:t>
      </w:r>
      <w:commentRangeEnd w:id="10"/>
      <w:r w:rsidRPr="00CF1A0C">
        <w:rPr>
          <w:rStyle w:val="CommentReference"/>
          <w:color w:val="FFC000"/>
        </w:rPr>
        <w:commentReference w:id="10"/>
      </w:r>
    </w:p>
    <w:p w14:paraId="1E8EBF92" w14:textId="77777777" w:rsidR="005C378A" w:rsidRPr="00CF1A0C" w:rsidRDefault="005C378A" w:rsidP="005C378A">
      <w:pPr>
        <w:rPr>
          <w:color w:val="FFC000"/>
        </w:rPr>
      </w:pPr>
      <w:r w:rsidRPr="00CF1A0C">
        <w:rPr>
          <w:color w:val="FFC000"/>
        </w:rPr>
        <w:t xml:space="preserve">The existence of interaction factors was a possibility that was addressed. A significant interaction effect between two independent variables would indicate the presence of a dampening effect of one factor on the other—essentially, the significant effect of the former independent variable on the dependent variable is exacerbated by the latter. In the case where interaction effect is significant within the independent variables selected in our final model, this may lead to the overemphasis on the significance of a certain factor in affecting injury count, which would result in a biased estimation. </w:t>
      </w:r>
    </w:p>
    <w:p w14:paraId="6557F8A3" w14:textId="77777777" w:rsidR="005C378A" w:rsidRPr="00CF1A0C" w:rsidRDefault="005C378A" w:rsidP="005C378A">
      <w:pPr>
        <w:rPr>
          <w:color w:val="FFC000"/>
        </w:rPr>
      </w:pPr>
      <w:r w:rsidRPr="00CF1A0C">
        <w:rPr>
          <w:color w:val="FFC000"/>
        </w:rPr>
        <w:t xml:space="preserve">We hypothesized that infrastructure categorical variables when compared with mean population density would yield the most likely and most significant interaction effects, given the intuitive relationship between them. An interaction factor analysis was performed on the negative binomial distribution model </w:t>
      </w:r>
      <w:r>
        <w:rPr>
          <w:color w:val="FFC000"/>
        </w:rPr>
        <w:t>between each variable. Interaction factors that were statistically significant in predicting injury counts were also included as dependent variables in the model.</w:t>
      </w:r>
    </w:p>
    <w:p w14:paraId="7AEA72AF" w14:textId="77777777" w:rsidR="005C378A" w:rsidRPr="002E7366" w:rsidRDefault="005C378A" w:rsidP="005C378A">
      <w:pPr>
        <w:rPr>
          <w:i/>
          <w:iCs/>
        </w:rPr>
      </w:pPr>
      <w:r>
        <w:rPr>
          <w:i/>
          <w:iCs/>
        </w:rPr>
        <w:t>4.4</w:t>
      </w:r>
      <w:r w:rsidRPr="002E7366">
        <w:rPr>
          <w:i/>
          <w:iCs/>
        </w:rPr>
        <w:t>. Sensitivity Analysis</w:t>
      </w:r>
    </w:p>
    <w:p w14:paraId="0F3E8BE1" w14:textId="77777777" w:rsidR="005C378A" w:rsidRDefault="005C378A" w:rsidP="005C378A">
      <w:r>
        <w:t xml:space="preserve">We estimated the sensitivity of each model using </w:t>
      </w:r>
      <w:r w:rsidRPr="00386B49">
        <w:t>+/-10%</w:t>
      </w:r>
      <w:r>
        <w:t xml:space="preserve"> variable interval for each injury prediction (A.4). Due to the high standard error of each model as well as significant variability and unpredictability of injury count across the board, we observe a wide confidence interval for each model. </w:t>
      </w:r>
    </w:p>
    <w:p w14:paraId="6D88E438" w14:textId="77777777" w:rsidR="005C378A" w:rsidRPr="00A71561" w:rsidRDefault="005C378A" w:rsidP="005C378A">
      <w:pPr>
        <w:rPr>
          <w:i/>
          <w:iCs/>
        </w:rPr>
      </w:pPr>
      <w:r>
        <w:rPr>
          <w:i/>
          <w:iCs/>
        </w:rPr>
        <w:t>4.5</w:t>
      </w:r>
      <w:r w:rsidRPr="00A71561">
        <w:rPr>
          <w:i/>
          <w:iCs/>
        </w:rPr>
        <w:t xml:space="preserve"> Comparisons with</w:t>
      </w:r>
      <w:r>
        <w:rPr>
          <w:i/>
          <w:iCs/>
        </w:rPr>
        <w:t xml:space="preserve"> Injury and Casualty Predictions/Patterns Researched with</w:t>
      </w:r>
      <w:r w:rsidRPr="00A71561">
        <w:rPr>
          <w:i/>
          <w:iCs/>
        </w:rPr>
        <w:t xml:space="preserve"> Other Global Conflicts</w:t>
      </w:r>
    </w:p>
    <w:p w14:paraId="37A81C00" w14:textId="77777777" w:rsidR="005C378A" w:rsidRDefault="005C378A" w:rsidP="005C378A">
      <w:r>
        <w:t>The findings in this study, although revealing pertinent information relevant to the ongoing Israeli-Palestinian conflict and drawing dire attention to the general need for reconstructive surgery treatment in the region, remains unique to the specific conflict itself. C</w:t>
      </w:r>
      <w:commentRangeStart w:id="11"/>
      <w:r w:rsidRPr="00D862BD">
        <w:t>omparisons can</w:t>
      </w:r>
      <w:commentRangeEnd w:id="11"/>
      <w:r>
        <w:rPr>
          <w:rStyle w:val="CommentReference"/>
        </w:rPr>
        <w:commentReference w:id="11"/>
      </w:r>
      <w:r w:rsidRPr="00D862BD">
        <w:t xml:space="preserve"> be drawn with studies conducted on other global conflicts to contextualize our findings within a broader </w:t>
      </w:r>
      <w:r>
        <w:t>view of</w:t>
      </w:r>
      <w:r w:rsidRPr="00D862BD">
        <w:t xml:space="preserve"> war-related injury patterns and medical needs.</w:t>
      </w:r>
    </w:p>
    <w:p w14:paraId="4746F5F4" w14:textId="77777777" w:rsidR="005C378A" w:rsidRDefault="005C378A" w:rsidP="005C378A">
      <w:r>
        <w:t xml:space="preserve">Other research studies also reveal different patterns present in war. Studies on injury and fatality patterns present in other conflicts have also been previously researched. One major finding from this study is that air and shelling attacks comprised the overwhelming majority of attacks on Gaza tracked by the ACLED, likely due to increase use of targeted missile strikes or air drone attacks, showing significance in predicting injury count. However, a systematic review conducted by </w:t>
      </w:r>
      <w:r w:rsidRPr="00BE44CF">
        <w:t>Khorram-Manesh</w:t>
      </w:r>
      <w:r>
        <w:t xml:space="preserve"> et. al. on modern military conflicts found that in the most recent conflicts explosive devices and gunshot wounds served as the main cause of injuries and fatalities (</w:t>
      </w:r>
      <w:hyperlink r:id="rId20">
        <w:r w:rsidRPr="7722F739">
          <w:rPr>
            <w:rStyle w:val="Hyperlink"/>
          </w:rPr>
          <w:t>https://doi.org/10.1093/milmed/usab108</w:t>
        </w:r>
      </w:hyperlink>
      <w:r>
        <w:t xml:space="preserve">). This discrepancy in attack type patterns reveals the unique war situation present in the Israeli-Palestinian conflict, highlighting the irregular warfare present in the region. However, </w:t>
      </w:r>
      <w:r w:rsidRPr="00B9038A">
        <w:t>Guha-Sapir</w:t>
      </w:r>
      <w:r>
        <w:t xml:space="preserve"> et. al. found that aerial bombing and shelling attacks were the </w:t>
      </w:r>
      <w:commentRangeStart w:id="12"/>
      <w:r>
        <w:t>predominant cause of death in women and childre</w:t>
      </w:r>
      <w:commentRangeEnd w:id="12"/>
      <w:r>
        <w:rPr>
          <w:rStyle w:val="CommentReference"/>
        </w:rPr>
        <w:commentReference w:id="12"/>
      </w:r>
      <w:r>
        <w:t>n in the Syrian war (</w:t>
      </w:r>
      <w:hyperlink r:id="rId21">
        <w:r w:rsidRPr="7722F739">
          <w:rPr>
            <w:rStyle w:val="Hyperlink"/>
          </w:rPr>
          <w:t>https://pubmed.ncbi.nlm.nih.gov/29226821/</w:t>
        </w:r>
      </w:hyperlink>
      <w:r>
        <w:t xml:space="preserve">), alluding to the idea of similar attack and warfare patterns among certain global conflicts. </w:t>
      </w:r>
    </w:p>
    <w:p w14:paraId="08567633" w14:textId="77777777" w:rsidR="005C378A" w:rsidRDefault="005C378A" w:rsidP="005C378A">
      <w:r>
        <w:t xml:space="preserve">The data collection performed during the duration of this study also revealed the intrinsic lack of accurate, open-source data on the conflict. Therefore, unconventional methods to obtain enough relevant data of our final variables were performed (e.g. satellite imagery, etc.) to predict injury count. A previous study conducted by Jamaluddine et. al. incorporated data from both the Palestinian Ministry of Health (MoH) and social media obituaries to predict traumatic injury mortality in the Gaza Strip (https://doi.org/10.1016/ S0140-6736(24)02678-3), further illustrating the challenges faced in acquiring comprehensive and reliable datasets in conflict zones. </w:t>
      </w:r>
      <w:commentRangeStart w:id="13"/>
      <w:r>
        <w:t>It may be necessary to adopt an approach of integrating multiple data sour</w:t>
      </w:r>
      <w:commentRangeEnd w:id="13"/>
      <w:r>
        <w:rPr>
          <w:rStyle w:val="CommentReference"/>
        </w:rPr>
        <w:commentReference w:id="13"/>
      </w:r>
      <w:r>
        <w:t>ces to construct a complete picture of injury and mortality trend</w:t>
      </w:r>
      <w:commentRangeStart w:id="14"/>
      <w:r>
        <w:t xml:space="preserve">s. </w:t>
      </w:r>
      <w:commentRangeEnd w:id="14"/>
      <w:r>
        <w:rPr>
          <w:rStyle w:val="CommentReference"/>
        </w:rPr>
        <w:commentReference w:id="14"/>
      </w:r>
    </w:p>
    <w:p w14:paraId="78012CDC" w14:textId="77777777" w:rsidR="005C378A" w:rsidRPr="00A804BC" w:rsidRDefault="005C378A" w:rsidP="005C378A">
      <w:pPr>
        <w:rPr>
          <w:i/>
          <w:iCs/>
        </w:rPr>
      </w:pPr>
      <w:r>
        <w:rPr>
          <w:i/>
          <w:iCs/>
        </w:rPr>
        <w:lastRenderedPageBreak/>
        <w:t>4.6</w:t>
      </w:r>
      <w:r w:rsidRPr="209BF8C9">
        <w:rPr>
          <w:i/>
          <w:iCs/>
        </w:rPr>
        <w:t xml:space="preserve"> Limitations</w:t>
      </w:r>
    </w:p>
    <w:p w14:paraId="6022E5D0" w14:textId="77777777" w:rsidR="005C378A" w:rsidRDefault="005C378A" w:rsidP="005C378A">
      <w:r w:rsidRPr="00B16E68">
        <w:t>While the Negative Binomial model performed best, several limitations should be considered. One primary limitation is the granularity of available population density data. While we categorized population density into three broad groups, a more precise dataset reflecting dynamic population movements in conflict zones could improve model accuracy. Additionally, our model relies on reported injury counts, which may underestimate the true impact of attacks, particularly in areas where medical access is limited. Underreporting is a persistent issue in conflict zones, particularly in areas where transportation to medical facilities is restricted</w:t>
      </w:r>
      <w:r>
        <w:t xml:space="preserve"> or where a substantial number of injured individuals are trapped under rubble</w:t>
      </w:r>
      <w:r w:rsidRPr="00B16E68">
        <w:t>. Furthermore, the model does not account for potential confounding variables</w:t>
      </w:r>
      <w:r>
        <w:t xml:space="preserve"> or other potentially significant factors, such as injury severity, demographical information</w:t>
      </w:r>
      <w:r w:rsidRPr="00B16E68">
        <w:t xml:space="preserve">, </w:t>
      </w:r>
      <w:r>
        <w:t>or waiting time for medical assistance (</w:t>
      </w:r>
      <w:hyperlink r:id="rId22">
        <w:r w:rsidRPr="7722F739">
          <w:rPr>
            <w:rStyle w:val="Hyperlink"/>
          </w:rPr>
          <w:t>https://doi.org/10.1093/milmed/usab108</w:t>
        </w:r>
      </w:hyperlink>
      <w:r>
        <w:t xml:space="preserve">, </w:t>
      </w:r>
      <w:hyperlink r:id="rId23">
        <w:r w:rsidRPr="7722F739">
          <w:rPr>
            <w:rStyle w:val="Hyperlink"/>
          </w:rPr>
          <w:t>https://doi.org/10.1186/s13049-024-01299-7</w:t>
        </w:r>
      </w:hyperlink>
      <w:r>
        <w:t xml:space="preserve">), </w:t>
      </w:r>
      <w:r w:rsidRPr="00B16E68">
        <w:t>all of which may influence</w:t>
      </w:r>
      <w:commentRangeStart w:id="15"/>
      <w:r>
        <w:t xml:space="preserve"> injury</w:t>
      </w:r>
      <w:r w:rsidRPr="00B16E68">
        <w:t xml:space="preserve"> numbers</w:t>
      </w:r>
      <w:commentRangeEnd w:id="15"/>
      <w:r>
        <w:rPr>
          <w:rStyle w:val="CommentReference"/>
        </w:rPr>
        <w:commentReference w:id="15"/>
      </w:r>
      <w:r>
        <w:t xml:space="preserve"> or the likelihood an injury would require reconstructive care</w:t>
      </w:r>
      <w:r w:rsidRPr="00B16E68">
        <w:t xml:space="preserve">. </w:t>
      </w:r>
      <w:r>
        <w:t xml:space="preserve">Regardless, as stated previously, it is difficult to prescribe conventional variables used to predict casualties due to the unique nature of this conflict. </w:t>
      </w:r>
    </w:p>
    <w:p w14:paraId="35D73A00" w14:textId="77777777" w:rsidR="005C378A" w:rsidRDefault="005C378A" w:rsidP="005C378A"/>
    <w:p w14:paraId="1CD8D8E2" w14:textId="77777777" w:rsidR="005C378A" w:rsidRPr="00311024" w:rsidRDefault="005C378A" w:rsidP="005C378A">
      <w:r>
        <w:rPr>
          <w:i/>
          <w:iCs/>
        </w:rPr>
        <w:t>4.7</w:t>
      </w:r>
      <w:r w:rsidRPr="00BC3DF0">
        <w:rPr>
          <w:i/>
          <w:iCs/>
        </w:rPr>
        <w:t xml:space="preserve"> Future Directions</w:t>
      </w:r>
    </w:p>
    <w:p w14:paraId="4605297F" w14:textId="77777777" w:rsidR="005C378A" w:rsidRDefault="005C378A" w:rsidP="005C378A">
      <w:r w:rsidRPr="00B16E68">
        <w:t>Future research should explore modeling approaches that incorporate additional contextual factors</w:t>
      </w:r>
      <w:r>
        <w:t xml:space="preserve"> </w:t>
      </w:r>
      <w:r w:rsidRPr="00B16E68">
        <w:t>to enhance predictive accuracy.</w:t>
      </w:r>
      <w:r>
        <w:t xml:space="preserve"> While our model incorporated factors that are considered to be substantially impactful on predicting injury rates based on past observations and current analysis, predicting injury rates depends on a nuanced and complex number of variables that are difficult to quantify. For example, our analysis of injury rates did not consider the effect of other potentially significant factors such as </w:t>
      </w:r>
      <w:r w:rsidRPr="00AB5031">
        <w:t xml:space="preserve">the availability and accessibility of medical aid, the speed of emergency response, and the influence of international intervention on conflict dynamics. Socioeconomic status, pre-existing health conditions, and patterns of forced displacement </w:t>
      </w:r>
      <w:r>
        <w:t xml:space="preserve">(should integrate population flow of refugees and IDPs) </w:t>
      </w:r>
      <w:r w:rsidRPr="00AB5031">
        <w:t>may also play a role in determining injury</w:t>
      </w:r>
      <w:r>
        <w:t xml:space="preserve"> counts. Thought should also be put into methods utilized to predict injury counts in the future. The dynamic landscape pertaining to technological, social, and political change will undoubtedly affect patterns of warfare globally. The evolution of key variables in injury prediction such as medical care, weaponry, and strategic development must also be considered. </w:t>
      </w:r>
    </w:p>
    <w:p w14:paraId="4F15CD58" w14:textId="77777777" w:rsidR="005C378A" w:rsidRDefault="005C378A" w:rsidP="005C378A">
      <w:r w:rsidRPr="00BB2E7F">
        <w:t>Expanding the analysis beyond injury count prediction to assess the influence of proposed factors on injury patterns (e.g., correlations between attack variables and affected extremities) would offer deeper insights. In the context of providing reconstructive surgery care to Palestinians in a war-torn region, assuming a fixed percentage of injuries requiring reconstruction may not accurately capture the complexity and evolving nature of injuries sustained over time.</w:t>
      </w:r>
    </w:p>
    <w:p w14:paraId="12738B81" w14:textId="77777777" w:rsidR="005C378A" w:rsidRDefault="005C378A" w:rsidP="005C378A">
      <w:r>
        <w:t>Future work should also focus on optimizing the quality and quantity of data obtained from online, open-source datasets and available situation reports published throughout the conflict.</w:t>
      </w:r>
    </w:p>
    <w:p w14:paraId="75BB81DE" w14:textId="77777777" w:rsidR="005C378A" w:rsidRDefault="005C378A" w:rsidP="005C378A"/>
    <w:p w14:paraId="35720FB8" w14:textId="77777777" w:rsidR="005C378A" w:rsidRPr="00204195" w:rsidRDefault="005C378A" w:rsidP="005C378A">
      <w:pPr>
        <w:rPr>
          <w:b/>
          <w:bCs/>
        </w:rPr>
      </w:pPr>
      <w:r>
        <w:rPr>
          <w:b/>
          <w:bCs/>
        </w:rPr>
        <w:t>5</w:t>
      </w:r>
      <w:r w:rsidRPr="00204195">
        <w:rPr>
          <w:b/>
          <w:bCs/>
        </w:rPr>
        <w:t>. Conclusion</w:t>
      </w:r>
    </w:p>
    <w:p w14:paraId="73D1D93C" w14:textId="77777777" w:rsidR="005C378A" w:rsidRPr="00B16E68" w:rsidRDefault="005C378A" w:rsidP="005C378A">
      <w:r w:rsidRPr="00B16E68">
        <w:t>The findings of this study have significant implications for humanitarian response efforts and medical resource planning in conflict zones</w:t>
      </w:r>
      <w:r>
        <w:t xml:space="preserve"> in the context of reconstructive surgical need</w:t>
      </w:r>
      <w:r w:rsidRPr="00B16E68">
        <w:t>.</w:t>
      </w:r>
    </w:p>
    <w:p w14:paraId="5487D95E" w14:textId="77777777" w:rsidR="005C378A" w:rsidRPr="00A804BC" w:rsidRDefault="005C378A" w:rsidP="005C378A"/>
    <w:p w14:paraId="7AAACDAD" w14:textId="77777777" w:rsidR="005C378A" w:rsidRDefault="005C378A" w:rsidP="005C378A"/>
    <w:p w14:paraId="05A16096" w14:textId="77777777" w:rsidR="005C378A" w:rsidRDefault="005C378A" w:rsidP="005C378A"/>
    <w:p w14:paraId="1B02FBFD" w14:textId="77777777" w:rsidR="005C378A" w:rsidRDefault="005C378A" w:rsidP="005C378A"/>
    <w:p w14:paraId="5C89D3CD" w14:textId="77777777" w:rsidR="005C378A" w:rsidRDefault="005C378A" w:rsidP="005C378A"/>
    <w:p w14:paraId="2E8F56D6" w14:textId="77777777" w:rsidR="005C378A" w:rsidRDefault="005C378A" w:rsidP="005C378A"/>
    <w:p w14:paraId="4C0310C8" w14:textId="77777777" w:rsidR="005C378A" w:rsidRDefault="005C378A" w:rsidP="005C378A"/>
    <w:p w14:paraId="2CA7959C" w14:textId="77777777" w:rsidR="005C378A" w:rsidRDefault="005C378A" w:rsidP="005C378A"/>
    <w:p w14:paraId="34234A0E" w14:textId="77777777" w:rsidR="005C378A" w:rsidRDefault="005C378A" w:rsidP="005C378A"/>
    <w:p w14:paraId="48DCC065" w14:textId="77777777" w:rsidR="005C378A" w:rsidRDefault="005C378A" w:rsidP="005C378A"/>
    <w:p w14:paraId="57CDBD34" w14:textId="77777777" w:rsidR="005C378A" w:rsidRDefault="005C378A" w:rsidP="005C378A"/>
    <w:p w14:paraId="0AE05DEB" w14:textId="77777777" w:rsidR="005C378A" w:rsidRDefault="005C378A" w:rsidP="005C378A"/>
    <w:p w14:paraId="5C7FB4AB" w14:textId="77777777" w:rsidR="005C378A" w:rsidRDefault="005C378A" w:rsidP="005C378A"/>
    <w:p w14:paraId="2A42FC15" w14:textId="77777777" w:rsidR="005C378A" w:rsidRDefault="005C378A" w:rsidP="005C378A"/>
    <w:p w14:paraId="66CD840C" w14:textId="77777777" w:rsidR="005C378A" w:rsidRDefault="005C378A" w:rsidP="005C378A"/>
    <w:p w14:paraId="754FB911" w14:textId="77777777" w:rsidR="005C378A" w:rsidRDefault="005C378A" w:rsidP="005C378A"/>
    <w:p w14:paraId="0E7BB2EC" w14:textId="77777777" w:rsidR="005C378A" w:rsidRDefault="005C378A" w:rsidP="005C378A"/>
    <w:p w14:paraId="3A8BB105" w14:textId="77777777" w:rsidR="005C378A" w:rsidRDefault="005C378A" w:rsidP="005C378A"/>
    <w:p w14:paraId="1C12E9E1" w14:textId="77777777" w:rsidR="005C378A" w:rsidRDefault="005C378A" w:rsidP="005C378A"/>
    <w:p w14:paraId="1CA32725" w14:textId="77777777" w:rsidR="005C378A" w:rsidRDefault="005C378A" w:rsidP="005C378A"/>
    <w:p w14:paraId="3A217814" w14:textId="77777777" w:rsidR="005C378A" w:rsidRDefault="005C378A" w:rsidP="005C378A"/>
    <w:p w14:paraId="3108759A" w14:textId="77777777" w:rsidR="005C378A" w:rsidRPr="00F515F8" w:rsidRDefault="005C378A" w:rsidP="005C378A">
      <w:pPr>
        <w:rPr>
          <w:b/>
          <w:bCs/>
          <w:sz w:val="48"/>
          <w:szCs w:val="48"/>
        </w:rPr>
      </w:pPr>
      <w:r w:rsidRPr="00F515F8">
        <w:rPr>
          <w:b/>
          <w:bCs/>
          <w:sz w:val="48"/>
          <w:szCs w:val="48"/>
        </w:rPr>
        <w:t xml:space="preserve">Appendix </w:t>
      </w:r>
    </w:p>
    <w:p w14:paraId="2C9462B9" w14:textId="77777777" w:rsidR="005C378A" w:rsidRDefault="005C378A" w:rsidP="005C378A"/>
    <w:p w14:paraId="539C1B83" w14:textId="77777777" w:rsidR="005C378A" w:rsidRDefault="005C378A" w:rsidP="005C378A">
      <w:r>
        <w:t xml:space="preserve">Table A.1 Injury prediction with preliminary model </w:t>
      </w:r>
    </w:p>
    <w:tbl>
      <w:tblPr>
        <w:tblStyle w:val="TableGrid"/>
        <w:tblW w:w="0" w:type="auto"/>
        <w:tblLook w:val="04A0" w:firstRow="1" w:lastRow="0" w:firstColumn="1" w:lastColumn="0" w:noHBand="0" w:noVBand="1"/>
      </w:tblPr>
      <w:tblGrid>
        <w:gridCol w:w="2904"/>
        <w:gridCol w:w="1311"/>
        <w:gridCol w:w="512"/>
        <w:gridCol w:w="542"/>
        <w:gridCol w:w="962"/>
        <w:gridCol w:w="957"/>
        <w:gridCol w:w="481"/>
        <w:gridCol w:w="477"/>
        <w:gridCol w:w="961"/>
        <w:gridCol w:w="957"/>
        <w:gridCol w:w="481"/>
        <w:gridCol w:w="476"/>
        <w:gridCol w:w="965"/>
      </w:tblGrid>
      <w:tr w:rsidR="005C378A" w:rsidRPr="00EA7BF1" w14:paraId="72B55101" w14:textId="77777777" w:rsidTr="00227544">
        <w:trPr>
          <w:trHeight w:val="890"/>
        </w:trPr>
        <w:tc>
          <w:tcPr>
            <w:tcW w:w="2904" w:type="dxa"/>
          </w:tcPr>
          <w:p w14:paraId="26D8554C" w14:textId="77777777" w:rsidR="005C378A" w:rsidRDefault="005C378A" w:rsidP="00227544"/>
        </w:tc>
        <w:tc>
          <w:tcPr>
            <w:tcW w:w="3327" w:type="dxa"/>
            <w:gridSpan w:val="4"/>
          </w:tcPr>
          <w:p w14:paraId="544CFCE1" w14:textId="77777777" w:rsidR="005C378A" w:rsidRPr="00EA7BF1" w:rsidRDefault="005C378A" w:rsidP="00227544">
            <w:pPr>
              <w:rPr>
                <w:b/>
                <w:bCs/>
              </w:rPr>
            </w:pPr>
            <w:r w:rsidRPr="00EA7BF1">
              <w:rPr>
                <w:b/>
                <w:bCs/>
              </w:rPr>
              <w:t>Least-squares Regression</w:t>
            </w:r>
          </w:p>
        </w:tc>
        <w:tc>
          <w:tcPr>
            <w:tcW w:w="2876" w:type="dxa"/>
            <w:gridSpan w:val="4"/>
          </w:tcPr>
          <w:p w14:paraId="288E2D64" w14:textId="77777777" w:rsidR="005C378A" w:rsidRPr="00EA7BF1" w:rsidRDefault="005C378A" w:rsidP="00227544">
            <w:pPr>
              <w:rPr>
                <w:b/>
                <w:bCs/>
              </w:rPr>
            </w:pPr>
            <w:r w:rsidRPr="00EA7BF1">
              <w:rPr>
                <w:b/>
                <w:bCs/>
              </w:rPr>
              <w:t>Generalized Poisson linear model</w:t>
            </w:r>
          </w:p>
        </w:tc>
        <w:tc>
          <w:tcPr>
            <w:tcW w:w="2879" w:type="dxa"/>
            <w:gridSpan w:val="4"/>
          </w:tcPr>
          <w:p w14:paraId="71700D26" w14:textId="77777777" w:rsidR="005C378A" w:rsidRPr="00EA7BF1" w:rsidRDefault="005C378A" w:rsidP="00227544">
            <w:pPr>
              <w:rPr>
                <w:b/>
                <w:bCs/>
              </w:rPr>
            </w:pPr>
            <w:r w:rsidRPr="00EA7BF1">
              <w:rPr>
                <w:b/>
                <w:bCs/>
              </w:rPr>
              <w:t>Generalized Negative Binomial Model (manuscript model)</w:t>
            </w:r>
          </w:p>
        </w:tc>
      </w:tr>
      <w:tr w:rsidR="005C378A" w14:paraId="0B4804FE" w14:textId="77777777" w:rsidTr="00227544">
        <w:trPr>
          <w:trHeight w:val="449"/>
        </w:trPr>
        <w:tc>
          <w:tcPr>
            <w:tcW w:w="2904" w:type="dxa"/>
            <w:vMerge w:val="restart"/>
          </w:tcPr>
          <w:p w14:paraId="30F18A47" w14:textId="77777777" w:rsidR="005C378A" w:rsidRDefault="005C378A" w:rsidP="00227544">
            <w:r w:rsidRPr="00E15876">
              <w:t>Descriptive Statistics</w:t>
            </w:r>
          </w:p>
        </w:tc>
        <w:tc>
          <w:tcPr>
            <w:tcW w:w="1823" w:type="dxa"/>
            <w:gridSpan w:val="2"/>
            <w:tcBorders>
              <w:bottom w:val="double" w:sz="4" w:space="0" w:color="000000" w:themeColor="text1"/>
            </w:tcBorders>
          </w:tcPr>
          <w:p w14:paraId="3D528376" w14:textId="77777777" w:rsidR="005C378A" w:rsidRDefault="005C378A" w:rsidP="00227544">
            <w:r w:rsidRPr="004D76FD">
              <w:t>R-squared</w:t>
            </w:r>
          </w:p>
        </w:tc>
        <w:tc>
          <w:tcPr>
            <w:tcW w:w="1504" w:type="dxa"/>
            <w:gridSpan w:val="2"/>
            <w:tcBorders>
              <w:bottom w:val="double" w:sz="4" w:space="0" w:color="000000" w:themeColor="text1"/>
            </w:tcBorders>
          </w:tcPr>
          <w:p w14:paraId="218A0C27" w14:textId="77777777" w:rsidR="005C378A" w:rsidRDefault="005C378A" w:rsidP="00227544">
            <w:r w:rsidRPr="004D76FD">
              <w:t>Adj. R-squared</w:t>
            </w:r>
          </w:p>
        </w:tc>
        <w:tc>
          <w:tcPr>
            <w:tcW w:w="1438" w:type="dxa"/>
            <w:gridSpan w:val="2"/>
            <w:tcBorders>
              <w:bottom w:val="double" w:sz="4" w:space="0" w:color="000000" w:themeColor="text1"/>
            </w:tcBorders>
          </w:tcPr>
          <w:p w14:paraId="4800F62E" w14:textId="77777777" w:rsidR="005C378A" w:rsidRDefault="005C378A" w:rsidP="00227544">
            <w:r w:rsidRPr="007B1F0A">
              <w:t>Pseudo R-squ.</w:t>
            </w:r>
          </w:p>
        </w:tc>
        <w:tc>
          <w:tcPr>
            <w:tcW w:w="1438" w:type="dxa"/>
            <w:gridSpan w:val="2"/>
            <w:tcBorders>
              <w:bottom w:val="double" w:sz="4" w:space="0" w:color="000000" w:themeColor="text1"/>
            </w:tcBorders>
          </w:tcPr>
          <w:p w14:paraId="67F11D86" w14:textId="77777777" w:rsidR="005C378A" w:rsidRDefault="005C378A" w:rsidP="00227544">
            <w:r w:rsidRPr="00991CAF">
              <w:t>Pearson chi2</w:t>
            </w:r>
          </w:p>
        </w:tc>
        <w:tc>
          <w:tcPr>
            <w:tcW w:w="1438" w:type="dxa"/>
            <w:gridSpan w:val="2"/>
            <w:tcBorders>
              <w:bottom w:val="double" w:sz="4" w:space="0" w:color="000000" w:themeColor="text1"/>
            </w:tcBorders>
          </w:tcPr>
          <w:p w14:paraId="28067D37" w14:textId="77777777" w:rsidR="005C378A" w:rsidRDefault="005C378A" w:rsidP="00227544">
            <w:r w:rsidRPr="007C11A0">
              <w:t>Pseudo R-squ.</w:t>
            </w:r>
          </w:p>
        </w:tc>
        <w:tc>
          <w:tcPr>
            <w:tcW w:w="1441" w:type="dxa"/>
            <w:gridSpan w:val="2"/>
            <w:tcBorders>
              <w:bottom w:val="double" w:sz="4" w:space="0" w:color="000000" w:themeColor="text1"/>
            </w:tcBorders>
          </w:tcPr>
          <w:p w14:paraId="1BFE7129" w14:textId="77777777" w:rsidR="005C378A" w:rsidRDefault="005C378A" w:rsidP="00227544">
            <w:r w:rsidRPr="00D71F64">
              <w:t>Pearson chi2</w:t>
            </w:r>
          </w:p>
        </w:tc>
      </w:tr>
      <w:tr w:rsidR="005C378A" w14:paraId="17F6DBCD" w14:textId="77777777" w:rsidTr="00227544">
        <w:trPr>
          <w:trHeight w:val="615"/>
        </w:trPr>
        <w:tc>
          <w:tcPr>
            <w:tcW w:w="2904" w:type="dxa"/>
            <w:vMerge/>
          </w:tcPr>
          <w:p w14:paraId="64F4489B" w14:textId="77777777" w:rsidR="005C378A" w:rsidRDefault="005C378A" w:rsidP="00227544"/>
        </w:tc>
        <w:tc>
          <w:tcPr>
            <w:tcW w:w="1823" w:type="dxa"/>
            <w:gridSpan w:val="2"/>
            <w:tcBorders>
              <w:top w:val="double" w:sz="4" w:space="0" w:color="000000" w:themeColor="text1"/>
            </w:tcBorders>
          </w:tcPr>
          <w:p w14:paraId="0A925554" w14:textId="77777777" w:rsidR="005C378A" w:rsidRDefault="005C378A" w:rsidP="00227544">
            <w:r>
              <w:t>0.100</w:t>
            </w:r>
          </w:p>
        </w:tc>
        <w:tc>
          <w:tcPr>
            <w:tcW w:w="1504" w:type="dxa"/>
            <w:gridSpan w:val="2"/>
            <w:tcBorders>
              <w:top w:val="double" w:sz="4" w:space="0" w:color="000000" w:themeColor="text1"/>
            </w:tcBorders>
          </w:tcPr>
          <w:p w14:paraId="2AE02406" w14:textId="77777777" w:rsidR="005C378A" w:rsidRDefault="005C378A" w:rsidP="00227544">
            <w:r>
              <w:t>0.091</w:t>
            </w:r>
          </w:p>
        </w:tc>
        <w:tc>
          <w:tcPr>
            <w:tcW w:w="1438" w:type="dxa"/>
            <w:gridSpan w:val="2"/>
            <w:tcBorders>
              <w:top w:val="double" w:sz="4" w:space="0" w:color="000000" w:themeColor="text1"/>
            </w:tcBorders>
          </w:tcPr>
          <w:p w14:paraId="73D2CFF8" w14:textId="77777777" w:rsidR="005C378A" w:rsidRDefault="005C378A" w:rsidP="00227544">
            <w:r>
              <w:t>1.000</w:t>
            </w:r>
          </w:p>
        </w:tc>
        <w:tc>
          <w:tcPr>
            <w:tcW w:w="1438" w:type="dxa"/>
            <w:gridSpan w:val="2"/>
            <w:tcBorders>
              <w:top w:val="double" w:sz="4" w:space="0" w:color="000000" w:themeColor="text1"/>
            </w:tcBorders>
          </w:tcPr>
          <w:p w14:paraId="79815C78" w14:textId="77777777" w:rsidR="005C378A" w:rsidRDefault="005C378A" w:rsidP="00227544">
            <w:r>
              <w:t>1.58e05</w:t>
            </w:r>
          </w:p>
        </w:tc>
        <w:tc>
          <w:tcPr>
            <w:tcW w:w="1438" w:type="dxa"/>
            <w:gridSpan w:val="2"/>
            <w:tcBorders>
              <w:top w:val="double" w:sz="4" w:space="0" w:color="000000" w:themeColor="text1"/>
            </w:tcBorders>
          </w:tcPr>
          <w:p w14:paraId="72C55FB3" w14:textId="77777777" w:rsidR="005C378A" w:rsidRDefault="005C378A" w:rsidP="00227544">
            <w:r w:rsidRPr="00AC679A">
              <w:t>0.5533</w:t>
            </w:r>
          </w:p>
        </w:tc>
        <w:tc>
          <w:tcPr>
            <w:tcW w:w="1441" w:type="dxa"/>
            <w:gridSpan w:val="2"/>
            <w:tcBorders>
              <w:top w:val="double" w:sz="4" w:space="0" w:color="000000" w:themeColor="text1"/>
            </w:tcBorders>
          </w:tcPr>
          <w:p w14:paraId="18F55CD3" w14:textId="77777777" w:rsidR="005C378A" w:rsidRDefault="005C378A" w:rsidP="00227544">
            <w:r>
              <w:t>135</w:t>
            </w:r>
          </w:p>
        </w:tc>
      </w:tr>
      <w:tr w:rsidR="005C378A" w14:paraId="63FD1AA6" w14:textId="77777777" w:rsidTr="00227544">
        <w:trPr>
          <w:trHeight w:val="665"/>
        </w:trPr>
        <w:tc>
          <w:tcPr>
            <w:tcW w:w="2904" w:type="dxa"/>
            <w:tcBorders>
              <w:bottom w:val="double" w:sz="4" w:space="0" w:color="000000" w:themeColor="text1"/>
            </w:tcBorders>
          </w:tcPr>
          <w:p w14:paraId="745B1672" w14:textId="77777777" w:rsidR="005C378A" w:rsidRDefault="005C378A" w:rsidP="00227544">
            <w:r>
              <w:t xml:space="preserve">Independent Variable </w:t>
            </w:r>
          </w:p>
        </w:tc>
        <w:tc>
          <w:tcPr>
            <w:tcW w:w="1311" w:type="dxa"/>
            <w:tcBorders>
              <w:bottom w:val="double" w:sz="4" w:space="0" w:color="000000" w:themeColor="text1"/>
            </w:tcBorders>
          </w:tcPr>
          <w:p w14:paraId="6578FE7C" w14:textId="77777777" w:rsidR="005C378A" w:rsidRDefault="005C378A" w:rsidP="00227544">
            <w:r>
              <w:t>Coef.</w:t>
            </w:r>
          </w:p>
        </w:tc>
        <w:tc>
          <w:tcPr>
            <w:tcW w:w="1054" w:type="dxa"/>
            <w:gridSpan w:val="2"/>
            <w:tcBorders>
              <w:bottom w:val="double" w:sz="4" w:space="0" w:color="000000" w:themeColor="text1"/>
            </w:tcBorders>
          </w:tcPr>
          <w:p w14:paraId="6DC7CA9D" w14:textId="77777777" w:rsidR="005C378A" w:rsidRDefault="005C378A" w:rsidP="00227544">
            <w:r>
              <w:t>Std. error</w:t>
            </w:r>
          </w:p>
        </w:tc>
        <w:tc>
          <w:tcPr>
            <w:tcW w:w="962" w:type="dxa"/>
            <w:tcBorders>
              <w:bottom w:val="double" w:sz="4" w:space="0" w:color="000000" w:themeColor="text1"/>
            </w:tcBorders>
          </w:tcPr>
          <w:p w14:paraId="24B4D4A2" w14:textId="77777777" w:rsidR="005C378A" w:rsidRDefault="005C378A" w:rsidP="00227544">
            <w:r>
              <w:t>P-value</w:t>
            </w:r>
          </w:p>
        </w:tc>
        <w:tc>
          <w:tcPr>
            <w:tcW w:w="957" w:type="dxa"/>
            <w:tcBorders>
              <w:bottom w:val="double" w:sz="4" w:space="0" w:color="000000" w:themeColor="text1"/>
            </w:tcBorders>
          </w:tcPr>
          <w:p w14:paraId="484E1E65" w14:textId="77777777" w:rsidR="005C378A" w:rsidRDefault="005C378A" w:rsidP="00227544">
            <w:r>
              <w:t>Coef.</w:t>
            </w:r>
          </w:p>
        </w:tc>
        <w:tc>
          <w:tcPr>
            <w:tcW w:w="958" w:type="dxa"/>
            <w:gridSpan w:val="2"/>
            <w:tcBorders>
              <w:bottom w:val="double" w:sz="4" w:space="0" w:color="000000" w:themeColor="text1"/>
            </w:tcBorders>
          </w:tcPr>
          <w:p w14:paraId="77F0F6D5" w14:textId="77777777" w:rsidR="005C378A" w:rsidRDefault="005C378A" w:rsidP="00227544">
            <w:r>
              <w:t>Std. error</w:t>
            </w:r>
          </w:p>
        </w:tc>
        <w:tc>
          <w:tcPr>
            <w:tcW w:w="961" w:type="dxa"/>
            <w:tcBorders>
              <w:bottom w:val="double" w:sz="4" w:space="0" w:color="000000" w:themeColor="text1"/>
            </w:tcBorders>
          </w:tcPr>
          <w:p w14:paraId="723A4A07" w14:textId="77777777" w:rsidR="005C378A" w:rsidRDefault="005C378A" w:rsidP="00227544">
            <w:r>
              <w:t>P-value</w:t>
            </w:r>
          </w:p>
        </w:tc>
        <w:tc>
          <w:tcPr>
            <w:tcW w:w="957" w:type="dxa"/>
            <w:tcBorders>
              <w:bottom w:val="double" w:sz="4" w:space="0" w:color="000000" w:themeColor="text1"/>
            </w:tcBorders>
          </w:tcPr>
          <w:p w14:paraId="4136EA1A" w14:textId="77777777" w:rsidR="005C378A" w:rsidRDefault="005C378A" w:rsidP="00227544">
            <w:r>
              <w:t>Coef.</w:t>
            </w:r>
          </w:p>
        </w:tc>
        <w:tc>
          <w:tcPr>
            <w:tcW w:w="957" w:type="dxa"/>
            <w:gridSpan w:val="2"/>
            <w:tcBorders>
              <w:bottom w:val="double" w:sz="4" w:space="0" w:color="000000" w:themeColor="text1"/>
            </w:tcBorders>
          </w:tcPr>
          <w:p w14:paraId="72BFAF26" w14:textId="77777777" w:rsidR="005C378A" w:rsidRDefault="005C378A" w:rsidP="00227544">
            <w:r>
              <w:t>Std. error</w:t>
            </w:r>
          </w:p>
        </w:tc>
        <w:tc>
          <w:tcPr>
            <w:tcW w:w="965" w:type="dxa"/>
            <w:tcBorders>
              <w:bottom w:val="double" w:sz="4" w:space="0" w:color="000000" w:themeColor="text1"/>
            </w:tcBorders>
          </w:tcPr>
          <w:p w14:paraId="3EAF3E7D" w14:textId="77777777" w:rsidR="005C378A" w:rsidRDefault="005C378A" w:rsidP="00227544">
            <w:r>
              <w:t>P-value</w:t>
            </w:r>
          </w:p>
        </w:tc>
      </w:tr>
      <w:tr w:rsidR="005C378A" w14:paraId="56B821C4" w14:textId="77777777" w:rsidTr="00227544">
        <w:trPr>
          <w:trHeight w:val="615"/>
        </w:trPr>
        <w:tc>
          <w:tcPr>
            <w:tcW w:w="2904" w:type="dxa"/>
            <w:tcBorders>
              <w:top w:val="double" w:sz="4" w:space="0" w:color="000000" w:themeColor="text1"/>
              <w:bottom w:val="single" w:sz="4" w:space="0" w:color="000000" w:themeColor="text1"/>
            </w:tcBorders>
          </w:tcPr>
          <w:p w14:paraId="7FF438F4" w14:textId="77777777" w:rsidR="005C378A" w:rsidRDefault="005C378A" w:rsidP="00227544">
            <w:r w:rsidRPr="00E97DE9">
              <w:t>const</w:t>
            </w:r>
          </w:p>
        </w:tc>
        <w:tc>
          <w:tcPr>
            <w:tcW w:w="1311" w:type="dxa"/>
            <w:tcBorders>
              <w:top w:val="double" w:sz="4" w:space="0" w:color="000000" w:themeColor="text1"/>
              <w:bottom w:val="single" w:sz="4" w:space="0" w:color="000000" w:themeColor="text1"/>
            </w:tcBorders>
          </w:tcPr>
          <w:p w14:paraId="5739E2FF" w14:textId="77777777" w:rsidR="005C378A" w:rsidRDefault="005C378A" w:rsidP="00227544">
            <w:r w:rsidRPr="008601BA">
              <w:t>246.5270</w:t>
            </w:r>
          </w:p>
        </w:tc>
        <w:tc>
          <w:tcPr>
            <w:tcW w:w="1054" w:type="dxa"/>
            <w:gridSpan w:val="2"/>
            <w:tcBorders>
              <w:top w:val="double" w:sz="4" w:space="0" w:color="000000" w:themeColor="text1"/>
              <w:bottom w:val="single" w:sz="4" w:space="0" w:color="000000" w:themeColor="text1"/>
            </w:tcBorders>
          </w:tcPr>
          <w:p w14:paraId="62C6424D" w14:textId="77777777" w:rsidR="005C378A" w:rsidRDefault="005C378A" w:rsidP="00227544">
            <w:r w:rsidRPr="00CF0AE6">
              <w:t>402.407</w:t>
            </w:r>
          </w:p>
        </w:tc>
        <w:tc>
          <w:tcPr>
            <w:tcW w:w="962" w:type="dxa"/>
            <w:tcBorders>
              <w:top w:val="double" w:sz="4" w:space="0" w:color="000000" w:themeColor="text1"/>
              <w:bottom w:val="single" w:sz="4" w:space="0" w:color="000000" w:themeColor="text1"/>
            </w:tcBorders>
          </w:tcPr>
          <w:p w14:paraId="6AEA72DD" w14:textId="77777777" w:rsidR="005C378A" w:rsidRDefault="005C378A" w:rsidP="00227544">
            <w:r w:rsidRPr="00CF0AE6">
              <w:t>0.541</w:t>
            </w:r>
          </w:p>
        </w:tc>
        <w:tc>
          <w:tcPr>
            <w:tcW w:w="957" w:type="dxa"/>
            <w:tcBorders>
              <w:top w:val="double" w:sz="4" w:space="0" w:color="000000" w:themeColor="text1"/>
              <w:bottom w:val="single" w:sz="4" w:space="0" w:color="000000" w:themeColor="text1"/>
            </w:tcBorders>
          </w:tcPr>
          <w:p w14:paraId="3F4581E5" w14:textId="77777777" w:rsidR="005C378A" w:rsidRDefault="005C378A" w:rsidP="00227544">
            <w:r w:rsidRPr="009B0F9D">
              <w:t xml:space="preserve">5.5159      </w:t>
            </w:r>
          </w:p>
        </w:tc>
        <w:tc>
          <w:tcPr>
            <w:tcW w:w="958" w:type="dxa"/>
            <w:gridSpan w:val="2"/>
            <w:tcBorders>
              <w:top w:val="double" w:sz="4" w:space="0" w:color="000000" w:themeColor="text1"/>
              <w:bottom w:val="single" w:sz="4" w:space="0" w:color="000000" w:themeColor="text1"/>
            </w:tcBorders>
          </w:tcPr>
          <w:p w14:paraId="68950089" w14:textId="77777777" w:rsidR="005C378A" w:rsidRDefault="005C378A" w:rsidP="00227544">
            <w:r w:rsidRPr="00AE38EF">
              <w:t>0.032</w:t>
            </w:r>
          </w:p>
        </w:tc>
        <w:tc>
          <w:tcPr>
            <w:tcW w:w="961" w:type="dxa"/>
            <w:tcBorders>
              <w:top w:val="double" w:sz="4" w:space="0" w:color="000000" w:themeColor="text1"/>
              <w:bottom w:val="single" w:sz="4" w:space="0" w:color="000000" w:themeColor="text1"/>
            </w:tcBorders>
          </w:tcPr>
          <w:p w14:paraId="37427983" w14:textId="77777777" w:rsidR="005C378A" w:rsidRDefault="005C378A" w:rsidP="00227544">
            <w:r>
              <w:t>0.000</w:t>
            </w:r>
          </w:p>
        </w:tc>
        <w:tc>
          <w:tcPr>
            <w:tcW w:w="957" w:type="dxa"/>
            <w:tcBorders>
              <w:top w:val="double" w:sz="4" w:space="0" w:color="000000" w:themeColor="text1"/>
              <w:bottom w:val="single" w:sz="4" w:space="0" w:color="000000" w:themeColor="text1"/>
            </w:tcBorders>
          </w:tcPr>
          <w:p w14:paraId="0C3C6618" w14:textId="77777777" w:rsidR="005C378A" w:rsidRDefault="005C378A" w:rsidP="00227544">
            <w:r>
              <w:t>5.7802</w:t>
            </w:r>
          </w:p>
        </w:tc>
        <w:tc>
          <w:tcPr>
            <w:tcW w:w="957" w:type="dxa"/>
            <w:gridSpan w:val="2"/>
            <w:tcBorders>
              <w:top w:val="double" w:sz="4" w:space="0" w:color="000000" w:themeColor="text1"/>
              <w:bottom w:val="single" w:sz="4" w:space="0" w:color="000000" w:themeColor="text1"/>
            </w:tcBorders>
          </w:tcPr>
          <w:p w14:paraId="04254F7C" w14:textId="77777777" w:rsidR="005C378A" w:rsidRDefault="005C378A" w:rsidP="00227544">
            <w:r>
              <w:t>0.588</w:t>
            </w:r>
          </w:p>
        </w:tc>
        <w:tc>
          <w:tcPr>
            <w:tcW w:w="965" w:type="dxa"/>
            <w:tcBorders>
              <w:top w:val="double" w:sz="4" w:space="0" w:color="000000" w:themeColor="text1"/>
              <w:bottom w:val="single" w:sz="4" w:space="0" w:color="000000" w:themeColor="text1"/>
            </w:tcBorders>
          </w:tcPr>
          <w:p w14:paraId="2666F455" w14:textId="77777777" w:rsidR="005C378A" w:rsidRDefault="005C378A" w:rsidP="00227544">
            <w:r>
              <w:t>0.000</w:t>
            </w:r>
          </w:p>
        </w:tc>
      </w:tr>
      <w:tr w:rsidR="005C378A" w14:paraId="0BF7E998" w14:textId="77777777" w:rsidTr="00227544">
        <w:trPr>
          <w:trHeight w:val="615"/>
        </w:trPr>
        <w:tc>
          <w:tcPr>
            <w:tcW w:w="2904" w:type="dxa"/>
            <w:tcBorders>
              <w:top w:val="dotDotDash" w:sz="4" w:space="0" w:color="000000" w:themeColor="text1"/>
              <w:bottom w:val="single" w:sz="4" w:space="0" w:color="000000" w:themeColor="text1"/>
            </w:tcBorders>
          </w:tcPr>
          <w:p w14:paraId="70F44194" w14:textId="77777777" w:rsidR="005C378A" w:rsidRDefault="005C378A" w:rsidP="00227544">
            <w:r w:rsidRPr="008601BA">
              <w:t xml:space="preserve">number_of_attacks    </w:t>
            </w:r>
          </w:p>
        </w:tc>
        <w:tc>
          <w:tcPr>
            <w:tcW w:w="1311" w:type="dxa"/>
            <w:tcBorders>
              <w:top w:val="dotDotDash" w:sz="4" w:space="0" w:color="000000" w:themeColor="text1"/>
              <w:bottom w:val="single" w:sz="4" w:space="0" w:color="000000" w:themeColor="text1"/>
            </w:tcBorders>
          </w:tcPr>
          <w:p w14:paraId="6584C1C0" w14:textId="77777777" w:rsidR="005C378A" w:rsidRDefault="005C378A" w:rsidP="00227544">
            <w:r w:rsidRPr="008601BA">
              <w:t>21.4763</w:t>
            </w:r>
          </w:p>
        </w:tc>
        <w:tc>
          <w:tcPr>
            <w:tcW w:w="1054" w:type="dxa"/>
            <w:gridSpan w:val="2"/>
            <w:tcBorders>
              <w:top w:val="dotDotDash" w:sz="4" w:space="0" w:color="000000" w:themeColor="text1"/>
              <w:bottom w:val="single" w:sz="4" w:space="0" w:color="000000" w:themeColor="text1"/>
            </w:tcBorders>
          </w:tcPr>
          <w:p w14:paraId="3109CDAD" w14:textId="77777777" w:rsidR="005C378A" w:rsidRDefault="005C378A" w:rsidP="00227544">
            <w:r w:rsidRPr="00CF0AE6">
              <w:t>5.597</w:t>
            </w:r>
          </w:p>
        </w:tc>
        <w:tc>
          <w:tcPr>
            <w:tcW w:w="962" w:type="dxa"/>
            <w:tcBorders>
              <w:top w:val="dotDotDash" w:sz="4" w:space="0" w:color="000000" w:themeColor="text1"/>
              <w:bottom w:val="single" w:sz="4" w:space="0" w:color="000000" w:themeColor="text1"/>
            </w:tcBorders>
          </w:tcPr>
          <w:p w14:paraId="6024210A"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65146980" w14:textId="77777777" w:rsidR="005C378A" w:rsidRDefault="005C378A" w:rsidP="00227544">
            <w:r w:rsidRPr="00AE38EF">
              <w:t>0.0458</w:t>
            </w:r>
          </w:p>
        </w:tc>
        <w:tc>
          <w:tcPr>
            <w:tcW w:w="958" w:type="dxa"/>
            <w:gridSpan w:val="2"/>
            <w:tcBorders>
              <w:top w:val="dotDotDash" w:sz="4" w:space="0" w:color="000000" w:themeColor="text1"/>
              <w:bottom w:val="single" w:sz="4" w:space="0" w:color="000000" w:themeColor="text1"/>
            </w:tcBorders>
          </w:tcPr>
          <w:p w14:paraId="5B2050C7" w14:textId="77777777" w:rsidR="005C378A" w:rsidRDefault="005C378A" w:rsidP="00227544">
            <w:r>
              <w:t>0.000</w:t>
            </w:r>
          </w:p>
        </w:tc>
        <w:tc>
          <w:tcPr>
            <w:tcW w:w="961" w:type="dxa"/>
            <w:tcBorders>
              <w:top w:val="dotDotDash" w:sz="4" w:space="0" w:color="000000" w:themeColor="text1"/>
              <w:bottom w:val="single" w:sz="4" w:space="0" w:color="000000" w:themeColor="text1"/>
            </w:tcBorders>
          </w:tcPr>
          <w:p w14:paraId="01C7D71C"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6A940777" w14:textId="77777777" w:rsidR="005C378A" w:rsidRDefault="005C378A" w:rsidP="00227544">
            <w:r>
              <w:t>0.0453</w:t>
            </w:r>
          </w:p>
        </w:tc>
        <w:tc>
          <w:tcPr>
            <w:tcW w:w="957" w:type="dxa"/>
            <w:gridSpan w:val="2"/>
            <w:tcBorders>
              <w:top w:val="dotDotDash" w:sz="4" w:space="0" w:color="000000" w:themeColor="text1"/>
              <w:bottom w:val="single" w:sz="4" w:space="0" w:color="000000" w:themeColor="text1"/>
            </w:tcBorders>
          </w:tcPr>
          <w:p w14:paraId="4BEF4636" w14:textId="77777777" w:rsidR="005C378A" w:rsidRDefault="005C378A" w:rsidP="00227544">
            <w:r>
              <w:t>0.008</w:t>
            </w:r>
          </w:p>
        </w:tc>
        <w:tc>
          <w:tcPr>
            <w:tcW w:w="965" w:type="dxa"/>
            <w:tcBorders>
              <w:top w:val="dotDotDash" w:sz="4" w:space="0" w:color="000000" w:themeColor="text1"/>
              <w:bottom w:val="single" w:sz="4" w:space="0" w:color="000000" w:themeColor="text1"/>
            </w:tcBorders>
          </w:tcPr>
          <w:p w14:paraId="35655844" w14:textId="77777777" w:rsidR="005C378A" w:rsidRDefault="005C378A" w:rsidP="00227544">
            <w:r>
              <w:t>0.000</w:t>
            </w:r>
          </w:p>
        </w:tc>
      </w:tr>
      <w:tr w:rsidR="005C378A" w14:paraId="4D0F4F0E" w14:textId="77777777" w:rsidTr="00227544">
        <w:trPr>
          <w:trHeight w:val="615"/>
        </w:trPr>
        <w:tc>
          <w:tcPr>
            <w:tcW w:w="2904" w:type="dxa"/>
            <w:tcBorders>
              <w:top w:val="dotDotDash" w:sz="4" w:space="0" w:color="000000" w:themeColor="text1"/>
              <w:bottom w:val="single" w:sz="4" w:space="0" w:color="000000" w:themeColor="text1"/>
            </w:tcBorders>
          </w:tcPr>
          <w:p w14:paraId="40C92B3C" w14:textId="77777777" w:rsidR="005C378A" w:rsidRDefault="005C378A" w:rsidP="00227544">
            <w:r w:rsidRPr="008601BA">
              <w:t>Distance_km</w:t>
            </w:r>
          </w:p>
        </w:tc>
        <w:tc>
          <w:tcPr>
            <w:tcW w:w="1311" w:type="dxa"/>
            <w:tcBorders>
              <w:top w:val="dotDotDash" w:sz="4" w:space="0" w:color="000000" w:themeColor="text1"/>
              <w:bottom w:val="single" w:sz="4" w:space="0" w:color="000000" w:themeColor="text1"/>
            </w:tcBorders>
          </w:tcPr>
          <w:p w14:paraId="008C6D6D" w14:textId="77777777" w:rsidR="005C378A" w:rsidRDefault="005C378A" w:rsidP="00227544">
            <w:r w:rsidRPr="008601BA">
              <w:t>-46.4522</w:t>
            </w:r>
          </w:p>
        </w:tc>
        <w:tc>
          <w:tcPr>
            <w:tcW w:w="1054" w:type="dxa"/>
            <w:gridSpan w:val="2"/>
            <w:tcBorders>
              <w:top w:val="dotDotDash" w:sz="4" w:space="0" w:color="000000" w:themeColor="text1"/>
              <w:bottom w:val="single" w:sz="4" w:space="0" w:color="000000" w:themeColor="text1"/>
            </w:tcBorders>
          </w:tcPr>
          <w:p w14:paraId="264E8CCC" w14:textId="77777777" w:rsidR="005C378A" w:rsidRDefault="005C378A" w:rsidP="00227544">
            <w:r w:rsidRPr="00CF0AE6">
              <w:t>21.011</w:t>
            </w:r>
          </w:p>
        </w:tc>
        <w:tc>
          <w:tcPr>
            <w:tcW w:w="962" w:type="dxa"/>
            <w:tcBorders>
              <w:top w:val="dotDotDash" w:sz="4" w:space="0" w:color="000000" w:themeColor="text1"/>
              <w:bottom w:val="single" w:sz="4" w:space="0" w:color="000000" w:themeColor="text1"/>
            </w:tcBorders>
          </w:tcPr>
          <w:p w14:paraId="2E7C294E" w14:textId="77777777" w:rsidR="005C378A" w:rsidRDefault="005C378A" w:rsidP="00227544">
            <w:r w:rsidRPr="00A073FD">
              <w:t>0.028</w:t>
            </w:r>
          </w:p>
        </w:tc>
        <w:tc>
          <w:tcPr>
            <w:tcW w:w="957" w:type="dxa"/>
            <w:tcBorders>
              <w:top w:val="dotDotDash" w:sz="4" w:space="0" w:color="000000" w:themeColor="text1"/>
              <w:bottom w:val="single" w:sz="4" w:space="0" w:color="000000" w:themeColor="text1"/>
            </w:tcBorders>
          </w:tcPr>
          <w:p w14:paraId="6C496758" w14:textId="77777777" w:rsidR="005C378A" w:rsidRDefault="005C378A" w:rsidP="00227544">
            <w:r w:rsidRPr="00AE38EF">
              <w:t>-0.0979</w:t>
            </w:r>
          </w:p>
        </w:tc>
        <w:tc>
          <w:tcPr>
            <w:tcW w:w="958" w:type="dxa"/>
            <w:gridSpan w:val="2"/>
            <w:tcBorders>
              <w:top w:val="dotDotDash" w:sz="4" w:space="0" w:color="000000" w:themeColor="text1"/>
              <w:bottom w:val="single" w:sz="4" w:space="0" w:color="000000" w:themeColor="text1"/>
            </w:tcBorders>
          </w:tcPr>
          <w:p w14:paraId="570E8088"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6265D6AB"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77E94239" w14:textId="77777777" w:rsidR="005C378A" w:rsidRDefault="005C378A" w:rsidP="00227544">
            <w:r>
              <w:t>-0.1154</w:t>
            </w:r>
          </w:p>
        </w:tc>
        <w:tc>
          <w:tcPr>
            <w:tcW w:w="957" w:type="dxa"/>
            <w:gridSpan w:val="2"/>
            <w:tcBorders>
              <w:top w:val="dotDotDash" w:sz="4" w:space="0" w:color="000000" w:themeColor="text1"/>
              <w:bottom w:val="single" w:sz="4" w:space="0" w:color="000000" w:themeColor="text1"/>
            </w:tcBorders>
          </w:tcPr>
          <w:p w14:paraId="4A9E7852" w14:textId="77777777" w:rsidR="005C378A" w:rsidRDefault="005C378A" w:rsidP="00227544">
            <w:r>
              <w:t>0.031</w:t>
            </w:r>
          </w:p>
        </w:tc>
        <w:tc>
          <w:tcPr>
            <w:tcW w:w="965" w:type="dxa"/>
            <w:tcBorders>
              <w:top w:val="dotDotDash" w:sz="4" w:space="0" w:color="000000" w:themeColor="text1"/>
              <w:bottom w:val="single" w:sz="4" w:space="0" w:color="000000" w:themeColor="text1"/>
            </w:tcBorders>
          </w:tcPr>
          <w:p w14:paraId="3C7AC61E" w14:textId="77777777" w:rsidR="005C378A" w:rsidRDefault="005C378A" w:rsidP="00227544">
            <w:r>
              <w:t>0.000</w:t>
            </w:r>
          </w:p>
        </w:tc>
      </w:tr>
      <w:tr w:rsidR="005C378A" w14:paraId="62404097" w14:textId="77777777" w:rsidTr="00227544">
        <w:trPr>
          <w:trHeight w:val="615"/>
        </w:trPr>
        <w:tc>
          <w:tcPr>
            <w:tcW w:w="2904" w:type="dxa"/>
            <w:tcBorders>
              <w:top w:val="single" w:sz="4" w:space="0" w:color="000000" w:themeColor="text1"/>
            </w:tcBorders>
          </w:tcPr>
          <w:p w14:paraId="5F58A3FA" w14:textId="77777777" w:rsidR="005C378A" w:rsidRDefault="005C378A" w:rsidP="00227544">
            <w:r>
              <w:t>Predicted # of injuries (95% CI)</w:t>
            </w:r>
          </w:p>
        </w:tc>
        <w:tc>
          <w:tcPr>
            <w:tcW w:w="3327" w:type="dxa"/>
            <w:gridSpan w:val="4"/>
            <w:tcBorders>
              <w:top w:val="single" w:sz="4" w:space="0" w:color="000000" w:themeColor="text1"/>
            </w:tcBorders>
          </w:tcPr>
          <w:p w14:paraId="66978A21" w14:textId="77777777" w:rsidR="005C378A" w:rsidRDefault="005C378A" w:rsidP="00227544">
            <w:r>
              <w:t>81971.08 (</w:t>
            </w:r>
            <w:r w:rsidRPr="00B26190">
              <w:t>-142495.65, 306437.82</w:t>
            </w:r>
            <w:r>
              <w:t>)</w:t>
            </w:r>
          </w:p>
        </w:tc>
        <w:tc>
          <w:tcPr>
            <w:tcW w:w="2876" w:type="dxa"/>
            <w:gridSpan w:val="4"/>
            <w:tcBorders>
              <w:top w:val="single" w:sz="4" w:space="0" w:color="000000" w:themeColor="text1"/>
            </w:tcBorders>
          </w:tcPr>
          <w:p w14:paraId="5E9B0BCC" w14:textId="77777777" w:rsidR="005C378A" w:rsidRDefault="005C378A" w:rsidP="00227544"/>
        </w:tc>
        <w:tc>
          <w:tcPr>
            <w:tcW w:w="2879" w:type="dxa"/>
            <w:gridSpan w:val="4"/>
            <w:tcBorders>
              <w:top w:val="single" w:sz="4" w:space="0" w:color="000000" w:themeColor="text1"/>
            </w:tcBorders>
          </w:tcPr>
          <w:p w14:paraId="7D207BF4" w14:textId="77777777" w:rsidR="005C378A" w:rsidRDefault="005C378A" w:rsidP="00227544"/>
        </w:tc>
      </w:tr>
      <w:tr w:rsidR="005C378A" w14:paraId="19292469" w14:textId="77777777" w:rsidTr="00227544">
        <w:trPr>
          <w:trHeight w:val="615"/>
        </w:trPr>
        <w:tc>
          <w:tcPr>
            <w:tcW w:w="2904" w:type="dxa"/>
            <w:tcBorders>
              <w:top w:val="single" w:sz="4" w:space="0" w:color="000000" w:themeColor="text1"/>
            </w:tcBorders>
          </w:tcPr>
          <w:p w14:paraId="55FAD1EC" w14:textId="77777777" w:rsidR="005C378A" w:rsidRDefault="005C378A" w:rsidP="00227544">
            <w:r>
              <w:lastRenderedPageBreak/>
              <w:t>Predicted # of surgeries (95% Ci)</w:t>
            </w:r>
          </w:p>
        </w:tc>
        <w:tc>
          <w:tcPr>
            <w:tcW w:w="3327" w:type="dxa"/>
            <w:gridSpan w:val="4"/>
            <w:tcBorders>
              <w:top w:val="single" w:sz="4" w:space="0" w:color="000000" w:themeColor="text1"/>
            </w:tcBorders>
          </w:tcPr>
          <w:p w14:paraId="1254283F" w14:textId="77777777" w:rsidR="005C378A" w:rsidRDefault="005C378A" w:rsidP="00227544">
            <w:r w:rsidRPr="00B26190">
              <w:t>19263.20</w:t>
            </w:r>
            <w:r>
              <w:t xml:space="preserve"> (</w:t>
            </w:r>
            <w:r w:rsidRPr="00B26190">
              <w:t>-33486.48, 72012.89</w:t>
            </w:r>
            <w:r>
              <w:t>)</w:t>
            </w:r>
          </w:p>
        </w:tc>
        <w:tc>
          <w:tcPr>
            <w:tcW w:w="2876" w:type="dxa"/>
            <w:gridSpan w:val="4"/>
            <w:tcBorders>
              <w:top w:val="single" w:sz="4" w:space="0" w:color="000000" w:themeColor="text1"/>
            </w:tcBorders>
          </w:tcPr>
          <w:p w14:paraId="4198C6BD" w14:textId="77777777" w:rsidR="005C378A" w:rsidRDefault="005C378A" w:rsidP="00227544"/>
        </w:tc>
        <w:tc>
          <w:tcPr>
            <w:tcW w:w="2879" w:type="dxa"/>
            <w:gridSpan w:val="4"/>
            <w:tcBorders>
              <w:top w:val="single" w:sz="4" w:space="0" w:color="000000" w:themeColor="text1"/>
            </w:tcBorders>
          </w:tcPr>
          <w:p w14:paraId="1D0D0FF0" w14:textId="77777777" w:rsidR="005C378A" w:rsidRDefault="005C378A" w:rsidP="00227544"/>
        </w:tc>
      </w:tr>
    </w:tbl>
    <w:p w14:paraId="5A6688CA" w14:textId="77777777" w:rsidR="005C378A" w:rsidRDefault="005C378A" w:rsidP="005C378A"/>
    <w:p w14:paraId="2A9A9383" w14:textId="77777777" w:rsidR="005C378A" w:rsidRDefault="005C378A" w:rsidP="005C378A">
      <w:r>
        <w:t>Table A.2 Interaction Effect Descriptive Statistics – Negative Binomial Model</w:t>
      </w:r>
    </w:p>
    <w:tbl>
      <w:tblPr>
        <w:tblStyle w:val="TableGrid"/>
        <w:tblW w:w="0" w:type="auto"/>
        <w:tblLook w:val="04A0" w:firstRow="1" w:lastRow="0" w:firstColumn="1" w:lastColumn="0" w:noHBand="0" w:noVBand="1"/>
      </w:tblPr>
      <w:tblGrid>
        <w:gridCol w:w="3486"/>
        <w:gridCol w:w="3487"/>
        <w:gridCol w:w="3487"/>
        <w:gridCol w:w="3487"/>
      </w:tblGrid>
      <w:tr w:rsidR="005C378A" w14:paraId="0CF9DD6F" w14:textId="77777777" w:rsidTr="00227544">
        <w:tc>
          <w:tcPr>
            <w:tcW w:w="3486" w:type="dxa"/>
          </w:tcPr>
          <w:p w14:paraId="0719D22C" w14:textId="77777777" w:rsidR="005C378A" w:rsidRDefault="005C378A" w:rsidP="00227544"/>
        </w:tc>
        <w:tc>
          <w:tcPr>
            <w:tcW w:w="3487" w:type="dxa"/>
          </w:tcPr>
          <w:p w14:paraId="04A0A3B3" w14:textId="77777777" w:rsidR="005C378A" w:rsidRDefault="005C378A" w:rsidP="00227544">
            <w:r>
              <w:t>Coef</w:t>
            </w:r>
          </w:p>
        </w:tc>
        <w:tc>
          <w:tcPr>
            <w:tcW w:w="3487" w:type="dxa"/>
          </w:tcPr>
          <w:p w14:paraId="21B4C8F8" w14:textId="77777777" w:rsidR="005C378A" w:rsidRDefault="005C378A" w:rsidP="00227544">
            <w:r>
              <w:t>Std error</w:t>
            </w:r>
          </w:p>
        </w:tc>
        <w:tc>
          <w:tcPr>
            <w:tcW w:w="3487" w:type="dxa"/>
          </w:tcPr>
          <w:p w14:paraId="2F8E9BC0" w14:textId="77777777" w:rsidR="005C378A" w:rsidRDefault="005C378A" w:rsidP="00227544">
            <w:r>
              <w:t>p-value</w:t>
            </w:r>
          </w:p>
        </w:tc>
      </w:tr>
      <w:tr w:rsidR="005C378A" w14:paraId="2A1CE139" w14:textId="77777777" w:rsidTr="00227544">
        <w:tc>
          <w:tcPr>
            <w:tcW w:w="3486" w:type="dxa"/>
          </w:tcPr>
          <w:p w14:paraId="68B0A624" w14:textId="77777777" w:rsidR="005C378A" w:rsidRDefault="005C378A" w:rsidP="00227544">
            <w:r>
              <w:t>Population density vs. camp interaction</w:t>
            </w:r>
          </w:p>
        </w:tc>
        <w:tc>
          <w:tcPr>
            <w:tcW w:w="3487" w:type="dxa"/>
          </w:tcPr>
          <w:p w14:paraId="5BE2A378" w14:textId="77777777" w:rsidR="005C378A" w:rsidRDefault="005C378A" w:rsidP="00227544">
            <w:r>
              <w:t>-0.0743</w:t>
            </w:r>
          </w:p>
        </w:tc>
        <w:tc>
          <w:tcPr>
            <w:tcW w:w="3487" w:type="dxa"/>
          </w:tcPr>
          <w:p w14:paraId="20A61E1E" w14:textId="77777777" w:rsidR="005C378A" w:rsidRDefault="005C378A" w:rsidP="00227544">
            <w:r>
              <w:t>0.118</w:t>
            </w:r>
          </w:p>
        </w:tc>
        <w:tc>
          <w:tcPr>
            <w:tcW w:w="3487" w:type="dxa"/>
          </w:tcPr>
          <w:p w14:paraId="1FDE317A" w14:textId="77777777" w:rsidR="005C378A" w:rsidRDefault="005C378A" w:rsidP="00227544">
            <w:r>
              <w:t>0.531</w:t>
            </w:r>
          </w:p>
        </w:tc>
      </w:tr>
      <w:tr w:rsidR="005C378A" w14:paraId="7658DD5C" w14:textId="77777777" w:rsidTr="00227544">
        <w:tc>
          <w:tcPr>
            <w:tcW w:w="3486" w:type="dxa"/>
          </w:tcPr>
          <w:p w14:paraId="30F9219F" w14:textId="77777777" w:rsidR="005C378A" w:rsidRDefault="005C378A" w:rsidP="00227544">
            <w:r>
              <w:t>Population density vs. barren interaction</w:t>
            </w:r>
          </w:p>
        </w:tc>
        <w:tc>
          <w:tcPr>
            <w:tcW w:w="3487" w:type="dxa"/>
          </w:tcPr>
          <w:p w14:paraId="608BA966" w14:textId="77777777" w:rsidR="005C378A" w:rsidRDefault="005C378A" w:rsidP="00227544">
            <w:r>
              <w:t>-0.0108</w:t>
            </w:r>
          </w:p>
        </w:tc>
        <w:tc>
          <w:tcPr>
            <w:tcW w:w="3487" w:type="dxa"/>
          </w:tcPr>
          <w:p w14:paraId="68EEA9AF" w14:textId="77777777" w:rsidR="005C378A" w:rsidRDefault="005C378A" w:rsidP="00227544">
            <w:r>
              <w:t>0.046</w:t>
            </w:r>
          </w:p>
        </w:tc>
        <w:tc>
          <w:tcPr>
            <w:tcW w:w="3487" w:type="dxa"/>
          </w:tcPr>
          <w:p w14:paraId="26F0938A" w14:textId="77777777" w:rsidR="005C378A" w:rsidRDefault="005C378A" w:rsidP="00227544">
            <w:r>
              <w:t>0.816</w:t>
            </w:r>
          </w:p>
        </w:tc>
      </w:tr>
      <w:tr w:rsidR="005C378A" w14:paraId="70DAF2B6" w14:textId="77777777" w:rsidTr="00227544">
        <w:tc>
          <w:tcPr>
            <w:tcW w:w="3486" w:type="dxa"/>
          </w:tcPr>
          <w:p w14:paraId="4A311685" w14:textId="77777777" w:rsidR="005C378A" w:rsidRDefault="005C378A" w:rsidP="00227544">
            <w:r>
              <w:t xml:space="preserve">Population density vs. suburban interaction </w:t>
            </w:r>
          </w:p>
        </w:tc>
        <w:tc>
          <w:tcPr>
            <w:tcW w:w="3487" w:type="dxa"/>
          </w:tcPr>
          <w:p w14:paraId="5839CF25" w14:textId="77777777" w:rsidR="005C378A" w:rsidRDefault="005C378A" w:rsidP="00227544">
            <w:r>
              <w:t>-1.9057</w:t>
            </w:r>
          </w:p>
        </w:tc>
        <w:tc>
          <w:tcPr>
            <w:tcW w:w="3487" w:type="dxa"/>
          </w:tcPr>
          <w:p w14:paraId="3CCCAEAF" w14:textId="77777777" w:rsidR="005C378A" w:rsidRDefault="005C378A" w:rsidP="00227544">
            <w:r>
              <w:t>0.689</w:t>
            </w:r>
          </w:p>
        </w:tc>
        <w:tc>
          <w:tcPr>
            <w:tcW w:w="3487" w:type="dxa"/>
          </w:tcPr>
          <w:p w14:paraId="13564D2A" w14:textId="77777777" w:rsidR="005C378A" w:rsidRDefault="005C378A" w:rsidP="00227544">
            <w:r>
              <w:t>0.006</w:t>
            </w:r>
          </w:p>
        </w:tc>
      </w:tr>
      <w:tr w:rsidR="005C378A" w14:paraId="54522B86" w14:textId="77777777" w:rsidTr="00227544">
        <w:tc>
          <w:tcPr>
            <w:tcW w:w="3486" w:type="dxa"/>
          </w:tcPr>
          <w:p w14:paraId="1A9E21A3" w14:textId="77777777" w:rsidR="005C378A" w:rsidRDefault="005C378A" w:rsidP="00227544">
            <w:r>
              <w:t>Population density vs. urban interaction</w:t>
            </w:r>
          </w:p>
        </w:tc>
        <w:tc>
          <w:tcPr>
            <w:tcW w:w="3487" w:type="dxa"/>
          </w:tcPr>
          <w:p w14:paraId="3F7D24E2" w14:textId="77777777" w:rsidR="005C378A" w:rsidRDefault="005C378A" w:rsidP="00227544">
            <w:r>
              <w:t>-0.3775</w:t>
            </w:r>
          </w:p>
        </w:tc>
        <w:tc>
          <w:tcPr>
            <w:tcW w:w="3487" w:type="dxa"/>
          </w:tcPr>
          <w:p w14:paraId="3EFCD48F" w14:textId="77777777" w:rsidR="005C378A" w:rsidRDefault="005C378A" w:rsidP="00227544">
            <w:r>
              <w:t>0.189</w:t>
            </w:r>
          </w:p>
        </w:tc>
        <w:tc>
          <w:tcPr>
            <w:tcW w:w="3487" w:type="dxa"/>
          </w:tcPr>
          <w:p w14:paraId="04733F5B" w14:textId="77777777" w:rsidR="005C378A" w:rsidRDefault="005C378A" w:rsidP="00227544">
            <w:r>
              <w:t>0.046</w:t>
            </w:r>
          </w:p>
        </w:tc>
      </w:tr>
      <w:tr w:rsidR="005C378A" w14:paraId="2DB3C91D" w14:textId="77777777" w:rsidTr="00227544">
        <w:tc>
          <w:tcPr>
            <w:tcW w:w="3486" w:type="dxa"/>
          </w:tcPr>
          <w:p w14:paraId="6F5C869F" w14:textId="77777777" w:rsidR="005C378A" w:rsidRDefault="005C378A" w:rsidP="00227544">
            <w:r>
              <w:t>Population density tent interaction</w:t>
            </w:r>
          </w:p>
        </w:tc>
        <w:tc>
          <w:tcPr>
            <w:tcW w:w="3487" w:type="dxa"/>
          </w:tcPr>
          <w:p w14:paraId="4BA584E3" w14:textId="77777777" w:rsidR="005C378A" w:rsidRDefault="005C378A" w:rsidP="00227544">
            <w:r>
              <w:t>-1.1815</w:t>
            </w:r>
          </w:p>
        </w:tc>
        <w:tc>
          <w:tcPr>
            <w:tcW w:w="3487" w:type="dxa"/>
          </w:tcPr>
          <w:p w14:paraId="27E7CD83" w14:textId="77777777" w:rsidR="005C378A" w:rsidRDefault="005C378A" w:rsidP="00227544">
            <w:r>
              <w:t>0.401</w:t>
            </w:r>
          </w:p>
        </w:tc>
        <w:tc>
          <w:tcPr>
            <w:tcW w:w="3487" w:type="dxa"/>
          </w:tcPr>
          <w:p w14:paraId="02C3D44A" w14:textId="77777777" w:rsidR="005C378A" w:rsidRDefault="005C378A" w:rsidP="00227544">
            <w:r>
              <w:t>0.003</w:t>
            </w:r>
          </w:p>
        </w:tc>
      </w:tr>
    </w:tbl>
    <w:p w14:paraId="65373A26" w14:textId="77777777" w:rsidR="005C378A" w:rsidRDefault="005C378A" w:rsidP="005C378A"/>
    <w:p w14:paraId="12BEA1C5" w14:textId="77777777" w:rsidR="005C378A" w:rsidRDefault="005C378A" w:rsidP="005C378A"/>
    <w:p w14:paraId="3650AD80" w14:textId="77777777" w:rsidR="005C378A" w:rsidRDefault="005C378A" w:rsidP="005C378A"/>
    <w:p w14:paraId="501CE469" w14:textId="77777777" w:rsidR="005C378A" w:rsidRDefault="005C378A" w:rsidP="005C378A"/>
    <w:p w14:paraId="7F7372F9" w14:textId="77777777" w:rsidR="005C378A" w:rsidRDefault="005C378A" w:rsidP="005C378A">
      <w:r>
        <w:t xml:space="preserve">Table A.3 </w:t>
      </w:r>
      <w:r w:rsidRPr="00FA41D3">
        <w:t>Injury prediction</w:t>
      </w:r>
      <w:r>
        <w:t xml:space="preserve"> </w:t>
      </w:r>
      <w:r w:rsidRPr="00FA41D3">
        <w:t>using other multivariate models</w:t>
      </w:r>
    </w:p>
    <w:tbl>
      <w:tblPr>
        <w:tblStyle w:val="TableGrid"/>
        <w:tblW w:w="0" w:type="auto"/>
        <w:tblLook w:val="04A0" w:firstRow="1" w:lastRow="0" w:firstColumn="1" w:lastColumn="0" w:noHBand="0" w:noVBand="1"/>
      </w:tblPr>
      <w:tblGrid>
        <w:gridCol w:w="2904"/>
        <w:gridCol w:w="1311"/>
        <w:gridCol w:w="512"/>
        <w:gridCol w:w="542"/>
        <w:gridCol w:w="962"/>
        <w:gridCol w:w="957"/>
        <w:gridCol w:w="481"/>
        <w:gridCol w:w="477"/>
        <w:gridCol w:w="961"/>
        <w:gridCol w:w="957"/>
        <w:gridCol w:w="481"/>
        <w:gridCol w:w="476"/>
        <w:gridCol w:w="958"/>
        <w:gridCol w:w="7"/>
        <w:gridCol w:w="952"/>
        <w:gridCol w:w="487"/>
        <w:gridCol w:w="473"/>
        <w:gridCol w:w="960"/>
        <w:gridCol w:w="7"/>
      </w:tblGrid>
      <w:tr w:rsidR="005C378A" w14:paraId="031CE322" w14:textId="77777777" w:rsidTr="00227544">
        <w:trPr>
          <w:trHeight w:val="890"/>
        </w:trPr>
        <w:tc>
          <w:tcPr>
            <w:tcW w:w="2904" w:type="dxa"/>
          </w:tcPr>
          <w:p w14:paraId="0B0EAAB4" w14:textId="77777777" w:rsidR="005C378A" w:rsidRDefault="005C378A" w:rsidP="00227544"/>
        </w:tc>
        <w:tc>
          <w:tcPr>
            <w:tcW w:w="3327" w:type="dxa"/>
            <w:gridSpan w:val="4"/>
          </w:tcPr>
          <w:p w14:paraId="4CB772C3" w14:textId="77777777" w:rsidR="005C378A" w:rsidRPr="00EA7BF1" w:rsidRDefault="005C378A" w:rsidP="00227544">
            <w:pPr>
              <w:rPr>
                <w:b/>
                <w:bCs/>
              </w:rPr>
            </w:pPr>
            <w:r w:rsidRPr="00EA7BF1">
              <w:rPr>
                <w:b/>
                <w:bCs/>
              </w:rPr>
              <w:t>Least-squares Regression</w:t>
            </w:r>
          </w:p>
        </w:tc>
        <w:tc>
          <w:tcPr>
            <w:tcW w:w="2876" w:type="dxa"/>
            <w:gridSpan w:val="4"/>
          </w:tcPr>
          <w:p w14:paraId="34BA8599" w14:textId="77777777" w:rsidR="005C378A" w:rsidRPr="00EA7BF1" w:rsidRDefault="005C378A" w:rsidP="00227544">
            <w:pPr>
              <w:rPr>
                <w:b/>
                <w:bCs/>
              </w:rPr>
            </w:pPr>
            <w:r w:rsidRPr="00EA7BF1">
              <w:rPr>
                <w:b/>
                <w:bCs/>
              </w:rPr>
              <w:t>Generalized Poisson linear model</w:t>
            </w:r>
          </w:p>
        </w:tc>
        <w:tc>
          <w:tcPr>
            <w:tcW w:w="2879" w:type="dxa"/>
            <w:gridSpan w:val="5"/>
          </w:tcPr>
          <w:p w14:paraId="72A4017D" w14:textId="77777777" w:rsidR="005C378A" w:rsidRPr="00EA7BF1" w:rsidRDefault="005C378A" w:rsidP="00227544">
            <w:pPr>
              <w:rPr>
                <w:b/>
                <w:bCs/>
              </w:rPr>
            </w:pPr>
            <w:r w:rsidRPr="00EA7BF1">
              <w:rPr>
                <w:b/>
                <w:bCs/>
              </w:rPr>
              <w:t xml:space="preserve">Generalized Negative Binomial Model </w:t>
            </w:r>
          </w:p>
        </w:tc>
        <w:tc>
          <w:tcPr>
            <w:tcW w:w="2879" w:type="dxa"/>
            <w:gridSpan w:val="5"/>
          </w:tcPr>
          <w:p w14:paraId="18DA207C" w14:textId="77777777" w:rsidR="005C378A" w:rsidRPr="00EA7BF1" w:rsidRDefault="005C378A" w:rsidP="00227544">
            <w:pPr>
              <w:rPr>
                <w:b/>
                <w:bCs/>
              </w:rPr>
            </w:pPr>
            <w:r>
              <w:rPr>
                <w:b/>
                <w:bCs/>
              </w:rPr>
              <w:t>Least Angle Regression Model (manuscript model)</w:t>
            </w:r>
          </w:p>
        </w:tc>
      </w:tr>
      <w:tr w:rsidR="005C378A" w14:paraId="2DBB3983" w14:textId="77777777" w:rsidTr="00227544">
        <w:trPr>
          <w:trHeight w:val="449"/>
        </w:trPr>
        <w:tc>
          <w:tcPr>
            <w:tcW w:w="2904" w:type="dxa"/>
            <w:vMerge w:val="restart"/>
          </w:tcPr>
          <w:p w14:paraId="064237AB" w14:textId="77777777" w:rsidR="005C378A" w:rsidRDefault="005C378A" w:rsidP="00227544">
            <w:r w:rsidRPr="00E15876">
              <w:t>Descriptive Statistics</w:t>
            </w:r>
          </w:p>
        </w:tc>
        <w:tc>
          <w:tcPr>
            <w:tcW w:w="1823" w:type="dxa"/>
            <w:gridSpan w:val="2"/>
            <w:tcBorders>
              <w:bottom w:val="double" w:sz="4" w:space="0" w:color="000000" w:themeColor="text1"/>
            </w:tcBorders>
          </w:tcPr>
          <w:p w14:paraId="355E43F6" w14:textId="77777777" w:rsidR="005C378A" w:rsidRDefault="005C378A" w:rsidP="00227544">
            <w:r w:rsidRPr="004D76FD">
              <w:t>R-squared</w:t>
            </w:r>
          </w:p>
        </w:tc>
        <w:tc>
          <w:tcPr>
            <w:tcW w:w="1504" w:type="dxa"/>
            <w:gridSpan w:val="2"/>
            <w:tcBorders>
              <w:bottom w:val="double" w:sz="4" w:space="0" w:color="000000" w:themeColor="text1"/>
            </w:tcBorders>
          </w:tcPr>
          <w:p w14:paraId="7C61FE9C" w14:textId="77777777" w:rsidR="005C378A" w:rsidRDefault="005C378A" w:rsidP="00227544">
            <w:r w:rsidRPr="004D76FD">
              <w:t>Adj. R-squared</w:t>
            </w:r>
          </w:p>
        </w:tc>
        <w:tc>
          <w:tcPr>
            <w:tcW w:w="1438" w:type="dxa"/>
            <w:gridSpan w:val="2"/>
            <w:tcBorders>
              <w:bottom w:val="double" w:sz="4" w:space="0" w:color="000000" w:themeColor="text1"/>
            </w:tcBorders>
          </w:tcPr>
          <w:p w14:paraId="567197DA" w14:textId="77777777" w:rsidR="005C378A" w:rsidRDefault="005C378A" w:rsidP="00227544">
            <w:r w:rsidRPr="007B1F0A">
              <w:t>Pseudo R-squ.</w:t>
            </w:r>
          </w:p>
        </w:tc>
        <w:tc>
          <w:tcPr>
            <w:tcW w:w="1438" w:type="dxa"/>
            <w:gridSpan w:val="2"/>
            <w:tcBorders>
              <w:bottom w:val="double" w:sz="4" w:space="0" w:color="000000" w:themeColor="text1"/>
            </w:tcBorders>
          </w:tcPr>
          <w:p w14:paraId="5EDB5B16" w14:textId="77777777" w:rsidR="005C378A" w:rsidRDefault="005C378A" w:rsidP="00227544">
            <w:r w:rsidRPr="00991CAF">
              <w:t>Pearson chi2</w:t>
            </w:r>
          </w:p>
        </w:tc>
        <w:tc>
          <w:tcPr>
            <w:tcW w:w="1438" w:type="dxa"/>
            <w:gridSpan w:val="2"/>
            <w:tcBorders>
              <w:bottom w:val="double" w:sz="4" w:space="0" w:color="000000" w:themeColor="text1"/>
            </w:tcBorders>
          </w:tcPr>
          <w:p w14:paraId="2042537B" w14:textId="77777777" w:rsidR="005C378A" w:rsidRDefault="005C378A" w:rsidP="00227544">
            <w:r w:rsidRPr="007C11A0">
              <w:t>Pseudo R-squ.</w:t>
            </w:r>
          </w:p>
        </w:tc>
        <w:tc>
          <w:tcPr>
            <w:tcW w:w="1441" w:type="dxa"/>
            <w:gridSpan w:val="3"/>
            <w:tcBorders>
              <w:bottom w:val="double" w:sz="4" w:space="0" w:color="000000" w:themeColor="text1"/>
            </w:tcBorders>
          </w:tcPr>
          <w:p w14:paraId="2B894C28" w14:textId="77777777" w:rsidR="005C378A" w:rsidRDefault="005C378A" w:rsidP="00227544">
            <w:r w:rsidRPr="00D71F64">
              <w:t>Pearson chi2</w:t>
            </w:r>
          </w:p>
        </w:tc>
        <w:tc>
          <w:tcPr>
            <w:tcW w:w="1439" w:type="dxa"/>
            <w:gridSpan w:val="2"/>
            <w:tcBorders>
              <w:bottom w:val="double" w:sz="4" w:space="0" w:color="000000" w:themeColor="text1"/>
            </w:tcBorders>
          </w:tcPr>
          <w:p w14:paraId="4D3B7665" w14:textId="77777777" w:rsidR="005C378A" w:rsidRPr="00D71F64" w:rsidRDefault="005C378A" w:rsidP="00227544"/>
        </w:tc>
        <w:tc>
          <w:tcPr>
            <w:tcW w:w="1440" w:type="dxa"/>
            <w:gridSpan w:val="3"/>
            <w:tcBorders>
              <w:bottom w:val="double" w:sz="4" w:space="0" w:color="000000" w:themeColor="text1"/>
            </w:tcBorders>
          </w:tcPr>
          <w:p w14:paraId="7D39CEB0" w14:textId="77777777" w:rsidR="005C378A" w:rsidRPr="00D71F64" w:rsidRDefault="005C378A" w:rsidP="00227544"/>
        </w:tc>
      </w:tr>
      <w:tr w:rsidR="005C378A" w14:paraId="3219C04C" w14:textId="77777777" w:rsidTr="00227544">
        <w:trPr>
          <w:trHeight w:val="615"/>
        </w:trPr>
        <w:tc>
          <w:tcPr>
            <w:tcW w:w="2904" w:type="dxa"/>
            <w:vMerge/>
          </w:tcPr>
          <w:p w14:paraId="029A2EEF" w14:textId="77777777" w:rsidR="005C378A" w:rsidRDefault="005C378A" w:rsidP="00227544"/>
        </w:tc>
        <w:tc>
          <w:tcPr>
            <w:tcW w:w="1823" w:type="dxa"/>
            <w:gridSpan w:val="2"/>
            <w:tcBorders>
              <w:top w:val="double" w:sz="4" w:space="0" w:color="000000" w:themeColor="text1"/>
            </w:tcBorders>
          </w:tcPr>
          <w:p w14:paraId="70074037" w14:textId="77777777" w:rsidR="005C378A" w:rsidRDefault="005C378A" w:rsidP="00227544">
            <w:r>
              <w:t>0.303</w:t>
            </w:r>
          </w:p>
        </w:tc>
        <w:tc>
          <w:tcPr>
            <w:tcW w:w="1504" w:type="dxa"/>
            <w:gridSpan w:val="2"/>
            <w:tcBorders>
              <w:top w:val="double" w:sz="4" w:space="0" w:color="000000" w:themeColor="text1"/>
            </w:tcBorders>
          </w:tcPr>
          <w:p w14:paraId="6137836E" w14:textId="77777777" w:rsidR="005C378A" w:rsidRDefault="005C378A" w:rsidP="00227544">
            <w:r>
              <w:t>0.267</w:t>
            </w:r>
          </w:p>
        </w:tc>
        <w:tc>
          <w:tcPr>
            <w:tcW w:w="1438" w:type="dxa"/>
            <w:gridSpan w:val="2"/>
            <w:tcBorders>
              <w:top w:val="double" w:sz="4" w:space="0" w:color="000000" w:themeColor="text1"/>
            </w:tcBorders>
          </w:tcPr>
          <w:p w14:paraId="29B9F0B3" w14:textId="77777777" w:rsidR="005C378A" w:rsidRDefault="005C378A" w:rsidP="00227544">
            <w:r>
              <w:t>1.000</w:t>
            </w:r>
          </w:p>
        </w:tc>
        <w:tc>
          <w:tcPr>
            <w:tcW w:w="1438" w:type="dxa"/>
            <w:gridSpan w:val="2"/>
            <w:tcBorders>
              <w:top w:val="double" w:sz="4" w:space="0" w:color="000000" w:themeColor="text1"/>
            </w:tcBorders>
          </w:tcPr>
          <w:p w14:paraId="5D53BF6B" w14:textId="77777777" w:rsidR="005C378A" w:rsidRDefault="005C378A" w:rsidP="00227544">
            <w:r>
              <w:t>5.38e+04</w:t>
            </w:r>
          </w:p>
        </w:tc>
        <w:tc>
          <w:tcPr>
            <w:tcW w:w="1438" w:type="dxa"/>
            <w:gridSpan w:val="2"/>
            <w:tcBorders>
              <w:top w:val="double" w:sz="4" w:space="0" w:color="000000" w:themeColor="text1"/>
            </w:tcBorders>
          </w:tcPr>
          <w:p w14:paraId="70E35525" w14:textId="77777777" w:rsidR="005C378A" w:rsidRDefault="005C378A" w:rsidP="00227544">
            <w:r w:rsidRPr="00AC679A">
              <w:t>0.5533</w:t>
            </w:r>
          </w:p>
        </w:tc>
        <w:tc>
          <w:tcPr>
            <w:tcW w:w="1441" w:type="dxa"/>
            <w:gridSpan w:val="3"/>
            <w:tcBorders>
              <w:top w:val="double" w:sz="4" w:space="0" w:color="000000" w:themeColor="text1"/>
            </w:tcBorders>
          </w:tcPr>
          <w:p w14:paraId="5C464E26" w14:textId="77777777" w:rsidR="005C378A" w:rsidRDefault="005C378A" w:rsidP="00227544">
            <w:r>
              <w:t>135</w:t>
            </w:r>
          </w:p>
        </w:tc>
        <w:tc>
          <w:tcPr>
            <w:tcW w:w="1439" w:type="dxa"/>
            <w:gridSpan w:val="2"/>
            <w:tcBorders>
              <w:top w:val="double" w:sz="4" w:space="0" w:color="000000" w:themeColor="text1"/>
            </w:tcBorders>
          </w:tcPr>
          <w:p w14:paraId="1030DC41" w14:textId="77777777" w:rsidR="005C378A" w:rsidRDefault="005C378A" w:rsidP="00227544"/>
        </w:tc>
        <w:tc>
          <w:tcPr>
            <w:tcW w:w="1440" w:type="dxa"/>
            <w:gridSpan w:val="3"/>
            <w:tcBorders>
              <w:top w:val="double" w:sz="4" w:space="0" w:color="000000" w:themeColor="text1"/>
            </w:tcBorders>
          </w:tcPr>
          <w:p w14:paraId="3D7E51ED" w14:textId="77777777" w:rsidR="005C378A" w:rsidRDefault="005C378A" w:rsidP="00227544"/>
        </w:tc>
      </w:tr>
      <w:tr w:rsidR="005C378A" w14:paraId="25D3A6D8" w14:textId="77777777" w:rsidTr="00227544">
        <w:trPr>
          <w:gridAfter w:val="1"/>
          <w:wAfter w:w="7" w:type="dxa"/>
          <w:trHeight w:val="665"/>
        </w:trPr>
        <w:tc>
          <w:tcPr>
            <w:tcW w:w="2904" w:type="dxa"/>
            <w:tcBorders>
              <w:bottom w:val="double" w:sz="4" w:space="0" w:color="000000" w:themeColor="text1"/>
            </w:tcBorders>
          </w:tcPr>
          <w:p w14:paraId="20F2FD3A" w14:textId="77777777" w:rsidR="005C378A" w:rsidRDefault="005C378A" w:rsidP="00227544">
            <w:r>
              <w:t xml:space="preserve">Independent Variable </w:t>
            </w:r>
          </w:p>
        </w:tc>
        <w:tc>
          <w:tcPr>
            <w:tcW w:w="1311" w:type="dxa"/>
            <w:tcBorders>
              <w:bottom w:val="double" w:sz="4" w:space="0" w:color="000000" w:themeColor="text1"/>
            </w:tcBorders>
          </w:tcPr>
          <w:p w14:paraId="24E956D7" w14:textId="77777777" w:rsidR="005C378A" w:rsidRDefault="005C378A" w:rsidP="00227544">
            <w:r>
              <w:t>Coef.</w:t>
            </w:r>
          </w:p>
        </w:tc>
        <w:tc>
          <w:tcPr>
            <w:tcW w:w="1054" w:type="dxa"/>
            <w:gridSpan w:val="2"/>
            <w:tcBorders>
              <w:bottom w:val="double" w:sz="4" w:space="0" w:color="000000" w:themeColor="text1"/>
            </w:tcBorders>
          </w:tcPr>
          <w:p w14:paraId="26B5357F" w14:textId="77777777" w:rsidR="005C378A" w:rsidRDefault="005C378A" w:rsidP="00227544">
            <w:r>
              <w:t>Std. error</w:t>
            </w:r>
          </w:p>
        </w:tc>
        <w:tc>
          <w:tcPr>
            <w:tcW w:w="962" w:type="dxa"/>
            <w:tcBorders>
              <w:bottom w:val="double" w:sz="4" w:space="0" w:color="000000" w:themeColor="text1"/>
            </w:tcBorders>
          </w:tcPr>
          <w:p w14:paraId="10D2163E" w14:textId="77777777" w:rsidR="005C378A" w:rsidRDefault="005C378A" w:rsidP="00227544">
            <w:r>
              <w:t>P-value</w:t>
            </w:r>
          </w:p>
        </w:tc>
        <w:tc>
          <w:tcPr>
            <w:tcW w:w="957" w:type="dxa"/>
            <w:tcBorders>
              <w:bottom w:val="double" w:sz="4" w:space="0" w:color="000000" w:themeColor="text1"/>
            </w:tcBorders>
          </w:tcPr>
          <w:p w14:paraId="66ABF87A" w14:textId="77777777" w:rsidR="005C378A" w:rsidRDefault="005C378A" w:rsidP="00227544">
            <w:r>
              <w:t>Coef.</w:t>
            </w:r>
          </w:p>
        </w:tc>
        <w:tc>
          <w:tcPr>
            <w:tcW w:w="958" w:type="dxa"/>
            <w:gridSpan w:val="2"/>
            <w:tcBorders>
              <w:bottom w:val="double" w:sz="4" w:space="0" w:color="000000" w:themeColor="text1"/>
            </w:tcBorders>
          </w:tcPr>
          <w:p w14:paraId="6E6843BF" w14:textId="77777777" w:rsidR="005C378A" w:rsidRDefault="005C378A" w:rsidP="00227544">
            <w:r>
              <w:t>Std. error</w:t>
            </w:r>
          </w:p>
        </w:tc>
        <w:tc>
          <w:tcPr>
            <w:tcW w:w="961" w:type="dxa"/>
            <w:tcBorders>
              <w:bottom w:val="double" w:sz="4" w:space="0" w:color="000000" w:themeColor="text1"/>
            </w:tcBorders>
          </w:tcPr>
          <w:p w14:paraId="30FBF804" w14:textId="77777777" w:rsidR="005C378A" w:rsidRDefault="005C378A" w:rsidP="00227544">
            <w:r>
              <w:t>P-value</w:t>
            </w:r>
          </w:p>
        </w:tc>
        <w:tc>
          <w:tcPr>
            <w:tcW w:w="957" w:type="dxa"/>
            <w:tcBorders>
              <w:bottom w:val="double" w:sz="4" w:space="0" w:color="000000" w:themeColor="text1"/>
            </w:tcBorders>
          </w:tcPr>
          <w:p w14:paraId="4D666E38" w14:textId="77777777" w:rsidR="005C378A" w:rsidRDefault="005C378A" w:rsidP="00227544">
            <w:r>
              <w:t>Coef.</w:t>
            </w:r>
          </w:p>
        </w:tc>
        <w:tc>
          <w:tcPr>
            <w:tcW w:w="957" w:type="dxa"/>
            <w:gridSpan w:val="2"/>
            <w:tcBorders>
              <w:bottom w:val="double" w:sz="4" w:space="0" w:color="000000" w:themeColor="text1"/>
            </w:tcBorders>
          </w:tcPr>
          <w:p w14:paraId="6D9F4018" w14:textId="77777777" w:rsidR="005C378A" w:rsidRDefault="005C378A" w:rsidP="00227544">
            <w:r>
              <w:t>Std. error</w:t>
            </w:r>
          </w:p>
        </w:tc>
        <w:tc>
          <w:tcPr>
            <w:tcW w:w="958" w:type="dxa"/>
            <w:tcBorders>
              <w:bottom w:val="double" w:sz="4" w:space="0" w:color="000000" w:themeColor="text1"/>
            </w:tcBorders>
          </w:tcPr>
          <w:p w14:paraId="116ACC30" w14:textId="77777777" w:rsidR="005C378A" w:rsidRDefault="005C378A" w:rsidP="00227544">
            <w:r>
              <w:t>P-value</w:t>
            </w:r>
          </w:p>
        </w:tc>
        <w:tc>
          <w:tcPr>
            <w:tcW w:w="959" w:type="dxa"/>
            <w:gridSpan w:val="2"/>
            <w:tcBorders>
              <w:bottom w:val="double" w:sz="4" w:space="0" w:color="000000" w:themeColor="text1"/>
            </w:tcBorders>
          </w:tcPr>
          <w:p w14:paraId="4927FD77" w14:textId="77777777" w:rsidR="005C378A" w:rsidRDefault="005C378A" w:rsidP="00227544"/>
        </w:tc>
        <w:tc>
          <w:tcPr>
            <w:tcW w:w="960" w:type="dxa"/>
            <w:gridSpan w:val="2"/>
            <w:tcBorders>
              <w:bottom w:val="double" w:sz="4" w:space="0" w:color="000000" w:themeColor="text1"/>
            </w:tcBorders>
          </w:tcPr>
          <w:p w14:paraId="1E33A8A2" w14:textId="77777777" w:rsidR="005C378A" w:rsidRDefault="005C378A" w:rsidP="00227544"/>
        </w:tc>
        <w:tc>
          <w:tcPr>
            <w:tcW w:w="960" w:type="dxa"/>
            <w:tcBorders>
              <w:bottom w:val="double" w:sz="4" w:space="0" w:color="000000" w:themeColor="text1"/>
            </w:tcBorders>
          </w:tcPr>
          <w:p w14:paraId="3ED8FFA1" w14:textId="77777777" w:rsidR="005C378A" w:rsidRDefault="005C378A" w:rsidP="00227544"/>
        </w:tc>
      </w:tr>
      <w:tr w:rsidR="005C378A" w14:paraId="19828BBD" w14:textId="77777777" w:rsidTr="00227544">
        <w:trPr>
          <w:gridAfter w:val="1"/>
          <w:wAfter w:w="7" w:type="dxa"/>
          <w:trHeight w:val="615"/>
        </w:trPr>
        <w:tc>
          <w:tcPr>
            <w:tcW w:w="2904" w:type="dxa"/>
            <w:tcBorders>
              <w:top w:val="double" w:sz="4" w:space="0" w:color="000000" w:themeColor="text1"/>
              <w:bottom w:val="single" w:sz="4" w:space="0" w:color="000000" w:themeColor="text1"/>
            </w:tcBorders>
          </w:tcPr>
          <w:p w14:paraId="43B480C3" w14:textId="77777777" w:rsidR="005C378A" w:rsidRDefault="005C378A" w:rsidP="00227544">
            <w:r w:rsidRPr="00E97DE9">
              <w:t>const</w:t>
            </w:r>
          </w:p>
        </w:tc>
        <w:tc>
          <w:tcPr>
            <w:tcW w:w="1311" w:type="dxa"/>
            <w:tcBorders>
              <w:top w:val="double" w:sz="4" w:space="0" w:color="000000" w:themeColor="text1"/>
              <w:bottom w:val="single" w:sz="4" w:space="0" w:color="000000" w:themeColor="text1"/>
            </w:tcBorders>
          </w:tcPr>
          <w:p w14:paraId="7EBC9FF0" w14:textId="77777777" w:rsidR="005C378A" w:rsidRDefault="005C378A" w:rsidP="00227544">
            <w:r w:rsidRPr="00F215C9">
              <w:t>-1340.7519</w:t>
            </w:r>
          </w:p>
        </w:tc>
        <w:tc>
          <w:tcPr>
            <w:tcW w:w="1054" w:type="dxa"/>
            <w:gridSpan w:val="2"/>
            <w:tcBorders>
              <w:top w:val="double" w:sz="4" w:space="0" w:color="000000" w:themeColor="text1"/>
              <w:bottom w:val="single" w:sz="4" w:space="0" w:color="000000" w:themeColor="text1"/>
            </w:tcBorders>
          </w:tcPr>
          <w:p w14:paraId="2550B7FE" w14:textId="77777777" w:rsidR="005C378A" w:rsidRDefault="005C378A" w:rsidP="00227544">
            <w:r w:rsidRPr="005206A6">
              <w:t>468.033</w:t>
            </w:r>
          </w:p>
        </w:tc>
        <w:tc>
          <w:tcPr>
            <w:tcW w:w="962" w:type="dxa"/>
            <w:tcBorders>
              <w:top w:val="double" w:sz="4" w:space="0" w:color="000000" w:themeColor="text1"/>
              <w:bottom w:val="single" w:sz="4" w:space="0" w:color="000000" w:themeColor="text1"/>
            </w:tcBorders>
          </w:tcPr>
          <w:p w14:paraId="24AF6437" w14:textId="77777777" w:rsidR="005C378A" w:rsidRDefault="005C378A" w:rsidP="00227544">
            <w:r w:rsidRPr="005206A6">
              <w:t>0.005</w:t>
            </w:r>
          </w:p>
        </w:tc>
        <w:tc>
          <w:tcPr>
            <w:tcW w:w="957" w:type="dxa"/>
            <w:tcBorders>
              <w:top w:val="double" w:sz="4" w:space="0" w:color="000000" w:themeColor="text1"/>
              <w:bottom w:val="single" w:sz="4" w:space="0" w:color="000000" w:themeColor="text1"/>
            </w:tcBorders>
          </w:tcPr>
          <w:p w14:paraId="77A45CC1" w14:textId="77777777" w:rsidR="005C378A" w:rsidRDefault="005C378A" w:rsidP="00227544">
            <w:r>
              <w:t>1.3448</w:t>
            </w:r>
          </w:p>
        </w:tc>
        <w:tc>
          <w:tcPr>
            <w:tcW w:w="958" w:type="dxa"/>
            <w:gridSpan w:val="2"/>
            <w:tcBorders>
              <w:top w:val="double" w:sz="4" w:space="0" w:color="000000" w:themeColor="text1"/>
              <w:bottom w:val="single" w:sz="4" w:space="0" w:color="000000" w:themeColor="text1"/>
            </w:tcBorders>
          </w:tcPr>
          <w:p w14:paraId="778762F4" w14:textId="77777777" w:rsidR="005C378A" w:rsidRDefault="005C378A" w:rsidP="00227544">
            <w:r>
              <w:t>0.049</w:t>
            </w:r>
          </w:p>
        </w:tc>
        <w:tc>
          <w:tcPr>
            <w:tcW w:w="961" w:type="dxa"/>
            <w:tcBorders>
              <w:top w:val="double" w:sz="4" w:space="0" w:color="000000" w:themeColor="text1"/>
              <w:bottom w:val="single" w:sz="4" w:space="0" w:color="000000" w:themeColor="text1"/>
            </w:tcBorders>
          </w:tcPr>
          <w:p w14:paraId="1FEC1AD0" w14:textId="77777777" w:rsidR="005C378A" w:rsidRDefault="005C378A" w:rsidP="00227544">
            <w:r>
              <w:t>0.000</w:t>
            </w:r>
          </w:p>
        </w:tc>
        <w:tc>
          <w:tcPr>
            <w:tcW w:w="957" w:type="dxa"/>
            <w:tcBorders>
              <w:top w:val="double" w:sz="4" w:space="0" w:color="000000" w:themeColor="text1"/>
              <w:bottom w:val="single" w:sz="4" w:space="0" w:color="000000" w:themeColor="text1"/>
            </w:tcBorders>
          </w:tcPr>
          <w:p w14:paraId="3FCD4DE4" w14:textId="77777777" w:rsidR="005C378A" w:rsidRDefault="005C378A" w:rsidP="00227544">
            <w:r>
              <w:t>2.2980</w:t>
            </w:r>
          </w:p>
        </w:tc>
        <w:tc>
          <w:tcPr>
            <w:tcW w:w="957" w:type="dxa"/>
            <w:gridSpan w:val="2"/>
            <w:tcBorders>
              <w:top w:val="double" w:sz="4" w:space="0" w:color="000000" w:themeColor="text1"/>
              <w:bottom w:val="single" w:sz="4" w:space="0" w:color="000000" w:themeColor="text1"/>
            </w:tcBorders>
          </w:tcPr>
          <w:p w14:paraId="423203BD" w14:textId="77777777" w:rsidR="005C378A" w:rsidRDefault="005C378A" w:rsidP="00227544">
            <w:r>
              <w:t>0.763</w:t>
            </w:r>
          </w:p>
        </w:tc>
        <w:tc>
          <w:tcPr>
            <w:tcW w:w="958" w:type="dxa"/>
            <w:tcBorders>
              <w:top w:val="double" w:sz="4" w:space="0" w:color="000000" w:themeColor="text1"/>
              <w:bottom w:val="single" w:sz="4" w:space="0" w:color="000000" w:themeColor="text1"/>
            </w:tcBorders>
          </w:tcPr>
          <w:p w14:paraId="13C63052" w14:textId="77777777" w:rsidR="005C378A" w:rsidRDefault="005C378A" w:rsidP="00227544">
            <w:r>
              <w:t>0.003</w:t>
            </w:r>
          </w:p>
        </w:tc>
        <w:tc>
          <w:tcPr>
            <w:tcW w:w="959" w:type="dxa"/>
            <w:gridSpan w:val="2"/>
            <w:tcBorders>
              <w:top w:val="double" w:sz="4" w:space="0" w:color="000000" w:themeColor="text1"/>
              <w:bottom w:val="single" w:sz="4" w:space="0" w:color="000000" w:themeColor="text1"/>
            </w:tcBorders>
          </w:tcPr>
          <w:p w14:paraId="35387848" w14:textId="77777777" w:rsidR="005C378A" w:rsidRDefault="005C378A" w:rsidP="00227544"/>
        </w:tc>
        <w:tc>
          <w:tcPr>
            <w:tcW w:w="960" w:type="dxa"/>
            <w:gridSpan w:val="2"/>
            <w:tcBorders>
              <w:top w:val="double" w:sz="4" w:space="0" w:color="000000" w:themeColor="text1"/>
              <w:bottom w:val="single" w:sz="4" w:space="0" w:color="000000" w:themeColor="text1"/>
            </w:tcBorders>
          </w:tcPr>
          <w:p w14:paraId="526B285D" w14:textId="77777777" w:rsidR="005C378A" w:rsidRDefault="005C378A" w:rsidP="00227544"/>
        </w:tc>
        <w:tc>
          <w:tcPr>
            <w:tcW w:w="960" w:type="dxa"/>
            <w:tcBorders>
              <w:top w:val="double" w:sz="4" w:space="0" w:color="000000" w:themeColor="text1"/>
              <w:bottom w:val="single" w:sz="4" w:space="0" w:color="000000" w:themeColor="text1"/>
            </w:tcBorders>
          </w:tcPr>
          <w:p w14:paraId="73F85930" w14:textId="77777777" w:rsidR="005C378A" w:rsidRDefault="005C378A" w:rsidP="00227544"/>
        </w:tc>
      </w:tr>
      <w:tr w:rsidR="005C378A" w14:paraId="1CC1CFD2"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40378A88" w14:textId="77777777" w:rsidR="005C378A" w:rsidRDefault="005C378A" w:rsidP="00227544">
            <w:r w:rsidRPr="00DA1085">
              <w:t>airdrone_attack_count</w:t>
            </w:r>
          </w:p>
        </w:tc>
        <w:tc>
          <w:tcPr>
            <w:tcW w:w="1311" w:type="dxa"/>
            <w:tcBorders>
              <w:top w:val="dotDotDash" w:sz="4" w:space="0" w:color="000000" w:themeColor="text1"/>
              <w:bottom w:val="single" w:sz="4" w:space="0" w:color="000000" w:themeColor="text1"/>
            </w:tcBorders>
          </w:tcPr>
          <w:p w14:paraId="2DCA5814" w14:textId="77777777" w:rsidR="005C378A" w:rsidRDefault="005C378A" w:rsidP="00227544">
            <w:r w:rsidRPr="005206A6">
              <w:t xml:space="preserve">49.2180     </w:t>
            </w:r>
          </w:p>
        </w:tc>
        <w:tc>
          <w:tcPr>
            <w:tcW w:w="1054" w:type="dxa"/>
            <w:gridSpan w:val="2"/>
            <w:tcBorders>
              <w:top w:val="dotDotDash" w:sz="4" w:space="0" w:color="000000" w:themeColor="text1"/>
              <w:bottom w:val="single" w:sz="4" w:space="0" w:color="000000" w:themeColor="text1"/>
            </w:tcBorders>
          </w:tcPr>
          <w:p w14:paraId="46A1B47B" w14:textId="77777777" w:rsidR="005C378A" w:rsidRDefault="005C378A" w:rsidP="00227544">
            <w:r w:rsidRPr="00C16CC9">
              <w:t>13.814</w:t>
            </w:r>
          </w:p>
        </w:tc>
        <w:tc>
          <w:tcPr>
            <w:tcW w:w="962" w:type="dxa"/>
            <w:tcBorders>
              <w:top w:val="dotDotDash" w:sz="4" w:space="0" w:color="000000" w:themeColor="text1"/>
              <w:bottom w:val="single" w:sz="4" w:space="0" w:color="000000" w:themeColor="text1"/>
            </w:tcBorders>
          </w:tcPr>
          <w:p w14:paraId="4495BBE2"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3F55A7D7" w14:textId="77777777" w:rsidR="005C378A" w:rsidRDefault="005C378A" w:rsidP="00227544">
            <w:r>
              <w:t>0.0896</w:t>
            </w:r>
          </w:p>
        </w:tc>
        <w:tc>
          <w:tcPr>
            <w:tcW w:w="958" w:type="dxa"/>
            <w:gridSpan w:val="2"/>
            <w:tcBorders>
              <w:top w:val="dotDotDash" w:sz="4" w:space="0" w:color="000000" w:themeColor="text1"/>
              <w:bottom w:val="single" w:sz="4" w:space="0" w:color="000000" w:themeColor="text1"/>
            </w:tcBorders>
          </w:tcPr>
          <w:p w14:paraId="5414BBAB" w14:textId="77777777" w:rsidR="005C378A" w:rsidRDefault="005C378A" w:rsidP="00227544">
            <w:r>
              <w:t>0.001</w:t>
            </w:r>
          </w:p>
        </w:tc>
        <w:tc>
          <w:tcPr>
            <w:tcW w:w="961" w:type="dxa"/>
            <w:tcBorders>
              <w:top w:val="dotDotDash" w:sz="4" w:space="0" w:color="000000" w:themeColor="text1"/>
              <w:bottom w:val="single" w:sz="4" w:space="0" w:color="000000" w:themeColor="text1"/>
            </w:tcBorders>
          </w:tcPr>
          <w:p w14:paraId="3A7083C9"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097C88BE" w14:textId="77777777" w:rsidR="005C378A" w:rsidRDefault="005C378A" w:rsidP="00227544">
            <w:r>
              <w:t>0.0662</w:t>
            </w:r>
          </w:p>
        </w:tc>
        <w:tc>
          <w:tcPr>
            <w:tcW w:w="957" w:type="dxa"/>
            <w:gridSpan w:val="2"/>
            <w:tcBorders>
              <w:top w:val="dotDotDash" w:sz="4" w:space="0" w:color="000000" w:themeColor="text1"/>
              <w:bottom w:val="single" w:sz="4" w:space="0" w:color="000000" w:themeColor="text1"/>
            </w:tcBorders>
          </w:tcPr>
          <w:p w14:paraId="0996A8E2" w14:textId="77777777" w:rsidR="005C378A" w:rsidRDefault="005C378A" w:rsidP="00227544">
            <w:r>
              <w:t>0.023</w:t>
            </w:r>
          </w:p>
        </w:tc>
        <w:tc>
          <w:tcPr>
            <w:tcW w:w="958" w:type="dxa"/>
            <w:tcBorders>
              <w:top w:val="dotDotDash" w:sz="4" w:space="0" w:color="000000" w:themeColor="text1"/>
              <w:bottom w:val="single" w:sz="4" w:space="0" w:color="000000" w:themeColor="text1"/>
            </w:tcBorders>
          </w:tcPr>
          <w:p w14:paraId="73D9A0FE" w14:textId="77777777" w:rsidR="005C378A" w:rsidRDefault="005C378A" w:rsidP="00227544">
            <w:r>
              <w:t>0.003</w:t>
            </w:r>
          </w:p>
        </w:tc>
        <w:tc>
          <w:tcPr>
            <w:tcW w:w="959" w:type="dxa"/>
            <w:gridSpan w:val="2"/>
            <w:tcBorders>
              <w:top w:val="dotDotDash" w:sz="4" w:space="0" w:color="000000" w:themeColor="text1"/>
              <w:bottom w:val="single" w:sz="4" w:space="0" w:color="000000" w:themeColor="text1"/>
            </w:tcBorders>
          </w:tcPr>
          <w:p w14:paraId="7F0227A1" w14:textId="77777777" w:rsidR="005C378A" w:rsidRDefault="005C378A" w:rsidP="00227544"/>
        </w:tc>
        <w:tc>
          <w:tcPr>
            <w:tcW w:w="960" w:type="dxa"/>
            <w:gridSpan w:val="2"/>
            <w:tcBorders>
              <w:top w:val="dotDotDash" w:sz="4" w:space="0" w:color="000000" w:themeColor="text1"/>
              <w:bottom w:val="single" w:sz="4" w:space="0" w:color="000000" w:themeColor="text1"/>
            </w:tcBorders>
          </w:tcPr>
          <w:p w14:paraId="10B75955" w14:textId="77777777" w:rsidR="005C378A" w:rsidRDefault="005C378A" w:rsidP="00227544"/>
        </w:tc>
        <w:tc>
          <w:tcPr>
            <w:tcW w:w="960" w:type="dxa"/>
            <w:tcBorders>
              <w:top w:val="dotDotDash" w:sz="4" w:space="0" w:color="000000" w:themeColor="text1"/>
              <w:bottom w:val="single" w:sz="4" w:space="0" w:color="000000" w:themeColor="text1"/>
            </w:tcBorders>
          </w:tcPr>
          <w:p w14:paraId="64EABF82" w14:textId="77777777" w:rsidR="005C378A" w:rsidRDefault="005C378A" w:rsidP="00227544"/>
        </w:tc>
      </w:tr>
      <w:tr w:rsidR="005C378A" w14:paraId="53E27A4B"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524E6CDA" w14:textId="77777777" w:rsidR="005C378A" w:rsidRDefault="005C378A" w:rsidP="00227544">
            <w:r w:rsidRPr="00DA1085">
              <w:t>shelling_attack_count</w:t>
            </w:r>
          </w:p>
        </w:tc>
        <w:tc>
          <w:tcPr>
            <w:tcW w:w="1311" w:type="dxa"/>
            <w:tcBorders>
              <w:top w:val="dotDotDash" w:sz="4" w:space="0" w:color="000000" w:themeColor="text1"/>
              <w:bottom w:val="single" w:sz="4" w:space="0" w:color="000000" w:themeColor="text1"/>
            </w:tcBorders>
          </w:tcPr>
          <w:p w14:paraId="25B2BE90" w14:textId="77777777" w:rsidR="005C378A" w:rsidRDefault="005C378A" w:rsidP="00227544">
            <w:r w:rsidRPr="005206A6">
              <w:t>-4.0323</w:t>
            </w:r>
          </w:p>
        </w:tc>
        <w:tc>
          <w:tcPr>
            <w:tcW w:w="1054" w:type="dxa"/>
            <w:gridSpan w:val="2"/>
            <w:tcBorders>
              <w:top w:val="dotDotDash" w:sz="4" w:space="0" w:color="000000" w:themeColor="text1"/>
              <w:bottom w:val="single" w:sz="4" w:space="0" w:color="000000" w:themeColor="text1"/>
            </w:tcBorders>
          </w:tcPr>
          <w:p w14:paraId="55456C35" w14:textId="77777777" w:rsidR="005C378A" w:rsidRDefault="005C378A" w:rsidP="00227544">
            <w:r w:rsidRPr="00C16CC9">
              <w:t>15.066</w:t>
            </w:r>
          </w:p>
        </w:tc>
        <w:tc>
          <w:tcPr>
            <w:tcW w:w="962" w:type="dxa"/>
            <w:tcBorders>
              <w:top w:val="dotDotDash" w:sz="4" w:space="0" w:color="000000" w:themeColor="text1"/>
              <w:bottom w:val="single" w:sz="4" w:space="0" w:color="000000" w:themeColor="text1"/>
            </w:tcBorders>
          </w:tcPr>
          <w:p w14:paraId="63551B8C" w14:textId="77777777" w:rsidR="005C378A" w:rsidRDefault="005C378A" w:rsidP="00227544">
            <w:r>
              <w:t>0.789</w:t>
            </w:r>
          </w:p>
        </w:tc>
        <w:tc>
          <w:tcPr>
            <w:tcW w:w="957" w:type="dxa"/>
            <w:tcBorders>
              <w:top w:val="dotDotDash" w:sz="4" w:space="0" w:color="000000" w:themeColor="text1"/>
              <w:bottom w:val="single" w:sz="4" w:space="0" w:color="000000" w:themeColor="text1"/>
            </w:tcBorders>
          </w:tcPr>
          <w:p w14:paraId="530EB215" w14:textId="77777777" w:rsidR="005C378A" w:rsidRDefault="005C378A" w:rsidP="00227544">
            <w:r>
              <w:t>-0.0220</w:t>
            </w:r>
          </w:p>
        </w:tc>
        <w:tc>
          <w:tcPr>
            <w:tcW w:w="958" w:type="dxa"/>
            <w:gridSpan w:val="2"/>
            <w:tcBorders>
              <w:top w:val="dotDotDash" w:sz="4" w:space="0" w:color="000000" w:themeColor="text1"/>
              <w:bottom w:val="single" w:sz="4" w:space="0" w:color="000000" w:themeColor="text1"/>
            </w:tcBorders>
          </w:tcPr>
          <w:p w14:paraId="75D2C2DE"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318AA66D"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2F1F6D1B" w14:textId="77777777" w:rsidR="005C378A" w:rsidRDefault="005C378A" w:rsidP="00227544">
            <w:r>
              <w:t>-0.0006</w:t>
            </w:r>
          </w:p>
        </w:tc>
        <w:tc>
          <w:tcPr>
            <w:tcW w:w="957" w:type="dxa"/>
            <w:gridSpan w:val="2"/>
            <w:tcBorders>
              <w:top w:val="dotDotDash" w:sz="4" w:space="0" w:color="000000" w:themeColor="text1"/>
              <w:bottom w:val="single" w:sz="4" w:space="0" w:color="000000" w:themeColor="text1"/>
            </w:tcBorders>
          </w:tcPr>
          <w:p w14:paraId="63A95F8D" w14:textId="77777777" w:rsidR="005C378A" w:rsidRDefault="005C378A" w:rsidP="00227544">
            <w:r>
              <w:t>0.025</w:t>
            </w:r>
          </w:p>
        </w:tc>
        <w:tc>
          <w:tcPr>
            <w:tcW w:w="958" w:type="dxa"/>
            <w:tcBorders>
              <w:top w:val="dotDotDash" w:sz="4" w:space="0" w:color="000000" w:themeColor="text1"/>
              <w:bottom w:val="single" w:sz="4" w:space="0" w:color="000000" w:themeColor="text1"/>
            </w:tcBorders>
          </w:tcPr>
          <w:p w14:paraId="73C38DA5" w14:textId="77777777" w:rsidR="005C378A" w:rsidRDefault="005C378A" w:rsidP="00227544">
            <w:r>
              <w:t>0.979</w:t>
            </w:r>
          </w:p>
        </w:tc>
        <w:tc>
          <w:tcPr>
            <w:tcW w:w="959" w:type="dxa"/>
            <w:gridSpan w:val="2"/>
            <w:tcBorders>
              <w:top w:val="dotDotDash" w:sz="4" w:space="0" w:color="000000" w:themeColor="text1"/>
              <w:bottom w:val="single" w:sz="4" w:space="0" w:color="000000" w:themeColor="text1"/>
            </w:tcBorders>
          </w:tcPr>
          <w:p w14:paraId="301DE296" w14:textId="77777777" w:rsidR="005C378A" w:rsidRDefault="005C378A" w:rsidP="00227544"/>
        </w:tc>
        <w:tc>
          <w:tcPr>
            <w:tcW w:w="960" w:type="dxa"/>
            <w:gridSpan w:val="2"/>
            <w:tcBorders>
              <w:top w:val="dotDotDash" w:sz="4" w:space="0" w:color="000000" w:themeColor="text1"/>
              <w:bottom w:val="single" w:sz="4" w:space="0" w:color="000000" w:themeColor="text1"/>
            </w:tcBorders>
          </w:tcPr>
          <w:p w14:paraId="058A60D9" w14:textId="77777777" w:rsidR="005C378A" w:rsidRDefault="005C378A" w:rsidP="00227544"/>
        </w:tc>
        <w:tc>
          <w:tcPr>
            <w:tcW w:w="960" w:type="dxa"/>
            <w:tcBorders>
              <w:top w:val="dotDotDash" w:sz="4" w:space="0" w:color="000000" w:themeColor="text1"/>
              <w:bottom w:val="single" w:sz="4" w:space="0" w:color="000000" w:themeColor="text1"/>
            </w:tcBorders>
          </w:tcPr>
          <w:p w14:paraId="28B21BD5" w14:textId="77777777" w:rsidR="005C378A" w:rsidRDefault="005C378A" w:rsidP="00227544"/>
        </w:tc>
      </w:tr>
      <w:tr w:rsidR="005C378A" w14:paraId="50DEACB2"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327A66C3" w14:textId="77777777" w:rsidR="005C378A" w:rsidRDefault="005C378A" w:rsidP="00227544">
            <w:r w:rsidRPr="00512E76">
              <w:t>ground_attack_count</w:t>
            </w:r>
          </w:p>
        </w:tc>
        <w:tc>
          <w:tcPr>
            <w:tcW w:w="1311" w:type="dxa"/>
            <w:tcBorders>
              <w:top w:val="dotDotDash" w:sz="4" w:space="0" w:color="000000" w:themeColor="text1"/>
              <w:bottom w:val="single" w:sz="4" w:space="0" w:color="000000" w:themeColor="text1"/>
            </w:tcBorders>
          </w:tcPr>
          <w:p w14:paraId="1CC526AD" w14:textId="77777777" w:rsidR="005C378A" w:rsidRDefault="005C378A" w:rsidP="00227544">
            <w:r w:rsidRPr="00512E76">
              <w:t>21.6320</w:t>
            </w:r>
          </w:p>
        </w:tc>
        <w:tc>
          <w:tcPr>
            <w:tcW w:w="1054" w:type="dxa"/>
            <w:gridSpan w:val="2"/>
            <w:tcBorders>
              <w:top w:val="dotDotDash" w:sz="4" w:space="0" w:color="000000" w:themeColor="text1"/>
              <w:bottom w:val="single" w:sz="4" w:space="0" w:color="000000" w:themeColor="text1"/>
            </w:tcBorders>
          </w:tcPr>
          <w:p w14:paraId="52697A89" w14:textId="77777777" w:rsidR="005C378A" w:rsidRDefault="005C378A" w:rsidP="00227544">
            <w:r w:rsidRPr="00C16CC9">
              <w:t>22.318</w:t>
            </w:r>
          </w:p>
        </w:tc>
        <w:tc>
          <w:tcPr>
            <w:tcW w:w="962" w:type="dxa"/>
            <w:tcBorders>
              <w:top w:val="dotDotDash" w:sz="4" w:space="0" w:color="000000" w:themeColor="text1"/>
              <w:bottom w:val="single" w:sz="4" w:space="0" w:color="000000" w:themeColor="text1"/>
            </w:tcBorders>
          </w:tcPr>
          <w:p w14:paraId="338EC2BF" w14:textId="77777777" w:rsidR="005C378A" w:rsidRDefault="005C378A" w:rsidP="00227544">
            <w:r>
              <w:t>0.334</w:t>
            </w:r>
          </w:p>
        </w:tc>
        <w:tc>
          <w:tcPr>
            <w:tcW w:w="957" w:type="dxa"/>
            <w:tcBorders>
              <w:top w:val="dotDotDash" w:sz="4" w:space="0" w:color="000000" w:themeColor="text1"/>
              <w:bottom w:val="single" w:sz="4" w:space="0" w:color="000000" w:themeColor="text1"/>
            </w:tcBorders>
          </w:tcPr>
          <w:p w14:paraId="06D1DF39" w14:textId="77777777" w:rsidR="005C378A" w:rsidRDefault="005C378A" w:rsidP="00227544">
            <w:r>
              <w:t>0.0552</w:t>
            </w:r>
          </w:p>
        </w:tc>
        <w:tc>
          <w:tcPr>
            <w:tcW w:w="958" w:type="dxa"/>
            <w:gridSpan w:val="2"/>
            <w:tcBorders>
              <w:top w:val="dotDotDash" w:sz="4" w:space="0" w:color="000000" w:themeColor="text1"/>
              <w:bottom w:val="single" w:sz="4" w:space="0" w:color="000000" w:themeColor="text1"/>
            </w:tcBorders>
          </w:tcPr>
          <w:p w14:paraId="3C6D4C46"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4813E69B"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3E82A598" w14:textId="77777777" w:rsidR="005C378A" w:rsidRDefault="005C378A" w:rsidP="00227544">
            <w:r>
              <w:t>0.0762</w:t>
            </w:r>
          </w:p>
        </w:tc>
        <w:tc>
          <w:tcPr>
            <w:tcW w:w="957" w:type="dxa"/>
            <w:gridSpan w:val="2"/>
            <w:tcBorders>
              <w:top w:val="dotDotDash" w:sz="4" w:space="0" w:color="000000" w:themeColor="text1"/>
              <w:bottom w:val="single" w:sz="4" w:space="0" w:color="000000" w:themeColor="text1"/>
            </w:tcBorders>
          </w:tcPr>
          <w:p w14:paraId="35179787" w14:textId="77777777" w:rsidR="005C378A" w:rsidRDefault="005C378A" w:rsidP="00227544">
            <w:r>
              <w:t>0.036</w:t>
            </w:r>
          </w:p>
        </w:tc>
        <w:tc>
          <w:tcPr>
            <w:tcW w:w="958" w:type="dxa"/>
            <w:tcBorders>
              <w:top w:val="dotDotDash" w:sz="4" w:space="0" w:color="000000" w:themeColor="text1"/>
              <w:bottom w:val="single" w:sz="4" w:space="0" w:color="000000" w:themeColor="text1"/>
            </w:tcBorders>
          </w:tcPr>
          <w:p w14:paraId="651CF1AE" w14:textId="77777777" w:rsidR="005C378A" w:rsidRDefault="005C378A" w:rsidP="00227544">
            <w:r>
              <w:t>0.036</w:t>
            </w:r>
          </w:p>
        </w:tc>
        <w:tc>
          <w:tcPr>
            <w:tcW w:w="2879" w:type="dxa"/>
            <w:gridSpan w:val="5"/>
            <w:tcBorders>
              <w:top w:val="dotDotDash" w:sz="4" w:space="0" w:color="000000" w:themeColor="text1"/>
              <w:bottom w:val="single" w:sz="4" w:space="0" w:color="000000" w:themeColor="text1"/>
            </w:tcBorders>
          </w:tcPr>
          <w:p w14:paraId="22707FAC" w14:textId="77777777" w:rsidR="005C378A" w:rsidRDefault="005C378A" w:rsidP="00227544"/>
        </w:tc>
      </w:tr>
      <w:tr w:rsidR="005C378A" w14:paraId="3D8B2CF7"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0993FFE2" w14:textId="77777777" w:rsidR="005C378A" w:rsidRPr="00512E76" w:rsidRDefault="005C378A" w:rsidP="00227544">
            <w:r w:rsidRPr="00512E76">
              <w:t>civil_unrest_count</w:t>
            </w:r>
          </w:p>
        </w:tc>
        <w:tc>
          <w:tcPr>
            <w:tcW w:w="1311" w:type="dxa"/>
            <w:tcBorders>
              <w:top w:val="dotDotDash" w:sz="4" w:space="0" w:color="000000" w:themeColor="text1"/>
              <w:bottom w:val="single" w:sz="4" w:space="0" w:color="000000" w:themeColor="text1"/>
            </w:tcBorders>
          </w:tcPr>
          <w:p w14:paraId="0DCC4511" w14:textId="77777777" w:rsidR="005C378A" w:rsidRPr="00512E76" w:rsidRDefault="005C378A" w:rsidP="00227544">
            <w:r w:rsidRPr="00C16CC9">
              <w:t>-33.0944</w:t>
            </w:r>
          </w:p>
        </w:tc>
        <w:tc>
          <w:tcPr>
            <w:tcW w:w="1054" w:type="dxa"/>
            <w:gridSpan w:val="2"/>
            <w:tcBorders>
              <w:top w:val="dotDotDash" w:sz="4" w:space="0" w:color="000000" w:themeColor="text1"/>
              <w:bottom w:val="single" w:sz="4" w:space="0" w:color="000000" w:themeColor="text1"/>
            </w:tcBorders>
          </w:tcPr>
          <w:p w14:paraId="708246FC" w14:textId="77777777" w:rsidR="005C378A" w:rsidRDefault="005C378A" w:rsidP="00227544">
            <w:r w:rsidRPr="00AA0D4D">
              <w:t xml:space="preserve">33.428     </w:t>
            </w:r>
          </w:p>
        </w:tc>
        <w:tc>
          <w:tcPr>
            <w:tcW w:w="962" w:type="dxa"/>
            <w:tcBorders>
              <w:top w:val="dotDotDash" w:sz="4" w:space="0" w:color="000000" w:themeColor="text1"/>
              <w:bottom w:val="single" w:sz="4" w:space="0" w:color="000000" w:themeColor="text1"/>
            </w:tcBorders>
          </w:tcPr>
          <w:p w14:paraId="50EA1906" w14:textId="77777777" w:rsidR="005C378A" w:rsidRDefault="005C378A" w:rsidP="00227544">
            <w:r>
              <w:t>0.323</w:t>
            </w:r>
          </w:p>
        </w:tc>
        <w:tc>
          <w:tcPr>
            <w:tcW w:w="957" w:type="dxa"/>
            <w:tcBorders>
              <w:top w:val="dotDotDash" w:sz="4" w:space="0" w:color="000000" w:themeColor="text1"/>
              <w:bottom w:val="single" w:sz="4" w:space="0" w:color="000000" w:themeColor="text1"/>
            </w:tcBorders>
          </w:tcPr>
          <w:p w14:paraId="3FCECF2D" w14:textId="77777777" w:rsidR="005C378A" w:rsidRDefault="005C378A" w:rsidP="00227544">
            <w:r>
              <w:t>-0.0763</w:t>
            </w:r>
          </w:p>
        </w:tc>
        <w:tc>
          <w:tcPr>
            <w:tcW w:w="958" w:type="dxa"/>
            <w:gridSpan w:val="2"/>
            <w:tcBorders>
              <w:top w:val="dotDotDash" w:sz="4" w:space="0" w:color="000000" w:themeColor="text1"/>
              <w:bottom w:val="single" w:sz="4" w:space="0" w:color="000000" w:themeColor="text1"/>
            </w:tcBorders>
          </w:tcPr>
          <w:p w14:paraId="7BEEBC93" w14:textId="77777777" w:rsidR="005C378A" w:rsidRDefault="005C378A" w:rsidP="00227544">
            <w:r>
              <w:t>0.004</w:t>
            </w:r>
          </w:p>
        </w:tc>
        <w:tc>
          <w:tcPr>
            <w:tcW w:w="961" w:type="dxa"/>
            <w:tcBorders>
              <w:top w:val="dotDotDash" w:sz="4" w:space="0" w:color="000000" w:themeColor="text1"/>
              <w:bottom w:val="single" w:sz="4" w:space="0" w:color="000000" w:themeColor="text1"/>
            </w:tcBorders>
          </w:tcPr>
          <w:p w14:paraId="10C53B55"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7981DCF4" w14:textId="77777777" w:rsidR="005C378A" w:rsidRDefault="005C378A" w:rsidP="00227544">
            <w:r>
              <w:t>-0.0364</w:t>
            </w:r>
          </w:p>
        </w:tc>
        <w:tc>
          <w:tcPr>
            <w:tcW w:w="957" w:type="dxa"/>
            <w:gridSpan w:val="2"/>
            <w:tcBorders>
              <w:top w:val="dotDotDash" w:sz="4" w:space="0" w:color="000000" w:themeColor="text1"/>
              <w:bottom w:val="single" w:sz="4" w:space="0" w:color="000000" w:themeColor="text1"/>
            </w:tcBorders>
          </w:tcPr>
          <w:p w14:paraId="06067BDF" w14:textId="77777777" w:rsidR="005C378A" w:rsidRDefault="005C378A" w:rsidP="00227544">
            <w:r>
              <w:t>0.055</w:t>
            </w:r>
          </w:p>
        </w:tc>
        <w:tc>
          <w:tcPr>
            <w:tcW w:w="958" w:type="dxa"/>
            <w:tcBorders>
              <w:top w:val="dotDotDash" w:sz="4" w:space="0" w:color="000000" w:themeColor="text1"/>
              <w:bottom w:val="single" w:sz="4" w:space="0" w:color="000000" w:themeColor="text1"/>
            </w:tcBorders>
          </w:tcPr>
          <w:p w14:paraId="41CADDF9" w14:textId="77777777" w:rsidR="005C378A" w:rsidRDefault="005C378A" w:rsidP="00227544">
            <w:r>
              <w:t>0.504</w:t>
            </w:r>
          </w:p>
        </w:tc>
        <w:tc>
          <w:tcPr>
            <w:tcW w:w="2879" w:type="dxa"/>
            <w:gridSpan w:val="5"/>
            <w:tcBorders>
              <w:top w:val="dotDotDash" w:sz="4" w:space="0" w:color="000000" w:themeColor="text1"/>
              <w:bottom w:val="single" w:sz="4" w:space="0" w:color="000000" w:themeColor="text1"/>
            </w:tcBorders>
          </w:tcPr>
          <w:p w14:paraId="1EB269A2" w14:textId="77777777" w:rsidR="005C378A" w:rsidRDefault="005C378A" w:rsidP="00227544"/>
        </w:tc>
      </w:tr>
      <w:tr w:rsidR="005C378A" w14:paraId="37F4D220"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1F48D3A7" w14:textId="77777777" w:rsidR="005C378A" w:rsidRPr="00512E76" w:rsidRDefault="005C378A" w:rsidP="00227544">
            <w:r w:rsidRPr="004B52A7">
              <w:lastRenderedPageBreak/>
              <w:t>other_attack_count</w:t>
            </w:r>
          </w:p>
        </w:tc>
        <w:tc>
          <w:tcPr>
            <w:tcW w:w="1311" w:type="dxa"/>
            <w:tcBorders>
              <w:top w:val="dotDotDash" w:sz="4" w:space="0" w:color="000000" w:themeColor="text1"/>
              <w:bottom w:val="single" w:sz="4" w:space="0" w:color="000000" w:themeColor="text1"/>
            </w:tcBorders>
          </w:tcPr>
          <w:p w14:paraId="47EC71ED" w14:textId="77777777" w:rsidR="005C378A" w:rsidRPr="00512E76" w:rsidRDefault="005C378A" w:rsidP="00227544">
            <w:r w:rsidRPr="00AA0D4D">
              <w:t>-49.1636</w:t>
            </w:r>
          </w:p>
        </w:tc>
        <w:tc>
          <w:tcPr>
            <w:tcW w:w="1054" w:type="dxa"/>
            <w:gridSpan w:val="2"/>
            <w:tcBorders>
              <w:top w:val="dotDotDash" w:sz="4" w:space="0" w:color="000000" w:themeColor="text1"/>
              <w:bottom w:val="single" w:sz="4" w:space="0" w:color="000000" w:themeColor="text1"/>
            </w:tcBorders>
          </w:tcPr>
          <w:p w14:paraId="54DB7D25" w14:textId="77777777" w:rsidR="005C378A" w:rsidRDefault="005C378A" w:rsidP="00227544">
            <w:r w:rsidRPr="00AA0D4D">
              <w:t>79.296</w:t>
            </w:r>
          </w:p>
        </w:tc>
        <w:tc>
          <w:tcPr>
            <w:tcW w:w="962" w:type="dxa"/>
            <w:tcBorders>
              <w:top w:val="dotDotDash" w:sz="4" w:space="0" w:color="000000" w:themeColor="text1"/>
              <w:bottom w:val="single" w:sz="4" w:space="0" w:color="000000" w:themeColor="text1"/>
            </w:tcBorders>
          </w:tcPr>
          <w:p w14:paraId="035CCB70" w14:textId="77777777" w:rsidR="005C378A" w:rsidRDefault="005C378A" w:rsidP="00227544">
            <w:r>
              <w:t>0.536</w:t>
            </w:r>
          </w:p>
        </w:tc>
        <w:tc>
          <w:tcPr>
            <w:tcW w:w="957" w:type="dxa"/>
            <w:tcBorders>
              <w:top w:val="dotDotDash" w:sz="4" w:space="0" w:color="000000" w:themeColor="text1"/>
              <w:bottom w:val="single" w:sz="4" w:space="0" w:color="000000" w:themeColor="text1"/>
            </w:tcBorders>
          </w:tcPr>
          <w:p w14:paraId="19F536BF" w14:textId="77777777" w:rsidR="005C378A" w:rsidRDefault="005C378A" w:rsidP="00227544">
            <w:r>
              <w:t>-0.1974</w:t>
            </w:r>
          </w:p>
        </w:tc>
        <w:tc>
          <w:tcPr>
            <w:tcW w:w="958" w:type="dxa"/>
            <w:gridSpan w:val="2"/>
            <w:tcBorders>
              <w:top w:val="dotDotDash" w:sz="4" w:space="0" w:color="000000" w:themeColor="text1"/>
              <w:bottom w:val="single" w:sz="4" w:space="0" w:color="000000" w:themeColor="text1"/>
            </w:tcBorders>
          </w:tcPr>
          <w:p w14:paraId="6F41F38F" w14:textId="77777777" w:rsidR="005C378A" w:rsidRDefault="005C378A" w:rsidP="00227544">
            <w:r>
              <w:t>0.010</w:t>
            </w:r>
          </w:p>
        </w:tc>
        <w:tc>
          <w:tcPr>
            <w:tcW w:w="961" w:type="dxa"/>
            <w:tcBorders>
              <w:top w:val="dotDotDash" w:sz="4" w:space="0" w:color="000000" w:themeColor="text1"/>
              <w:bottom w:val="single" w:sz="4" w:space="0" w:color="000000" w:themeColor="text1"/>
            </w:tcBorders>
          </w:tcPr>
          <w:p w14:paraId="50299B4D"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6737B79B" w14:textId="77777777" w:rsidR="005C378A" w:rsidRDefault="005C378A" w:rsidP="00227544">
            <w:r>
              <w:t>-0.1768</w:t>
            </w:r>
          </w:p>
        </w:tc>
        <w:tc>
          <w:tcPr>
            <w:tcW w:w="957" w:type="dxa"/>
            <w:gridSpan w:val="2"/>
            <w:tcBorders>
              <w:top w:val="dotDotDash" w:sz="4" w:space="0" w:color="000000" w:themeColor="text1"/>
              <w:bottom w:val="single" w:sz="4" w:space="0" w:color="000000" w:themeColor="text1"/>
            </w:tcBorders>
          </w:tcPr>
          <w:p w14:paraId="5F8B9EF5" w14:textId="77777777" w:rsidR="005C378A" w:rsidRDefault="005C378A" w:rsidP="00227544">
            <w:r>
              <w:t>0.129</w:t>
            </w:r>
          </w:p>
        </w:tc>
        <w:tc>
          <w:tcPr>
            <w:tcW w:w="958" w:type="dxa"/>
            <w:tcBorders>
              <w:top w:val="dotDotDash" w:sz="4" w:space="0" w:color="000000" w:themeColor="text1"/>
              <w:bottom w:val="single" w:sz="4" w:space="0" w:color="000000" w:themeColor="text1"/>
            </w:tcBorders>
          </w:tcPr>
          <w:p w14:paraId="0A5DFB31" w14:textId="77777777" w:rsidR="005C378A" w:rsidRDefault="005C378A" w:rsidP="00227544">
            <w:r>
              <w:t>0.172</w:t>
            </w:r>
          </w:p>
        </w:tc>
        <w:tc>
          <w:tcPr>
            <w:tcW w:w="2879" w:type="dxa"/>
            <w:gridSpan w:val="5"/>
            <w:tcBorders>
              <w:top w:val="dotDotDash" w:sz="4" w:space="0" w:color="000000" w:themeColor="text1"/>
              <w:bottom w:val="single" w:sz="4" w:space="0" w:color="000000" w:themeColor="text1"/>
            </w:tcBorders>
          </w:tcPr>
          <w:p w14:paraId="527A46A4" w14:textId="77777777" w:rsidR="005C378A" w:rsidRDefault="005C378A" w:rsidP="00227544"/>
        </w:tc>
      </w:tr>
      <w:tr w:rsidR="005C378A" w14:paraId="5C92234E"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462DF994" w14:textId="77777777" w:rsidR="005C378A" w:rsidRPr="00512E76" w:rsidRDefault="005C378A" w:rsidP="00227544">
            <w:r w:rsidRPr="004B52A7">
              <w:t>mean_population_density</w:t>
            </w:r>
          </w:p>
        </w:tc>
        <w:tc>
          <w:tcPr>
            <w:tcW w:w="1311" w:type="dxa"/>
            <w:tcBorders>
              <w:top w:val="dotDotDash" w:sz="4" w:space="0" w:color="000000" w:themeColor="text1"/>
              <w:bottom w:val="single" w:sz="4" w:space="0" w:color="000000" w:themeColor="text1"/>
            </w:tcBorders>
          </w:tcPr>
          <w:p w14:paraId="6CCC8871" w14:textId="77777777" w:rsidR="005C378A" w:rsidRPr="00512E76" w:rsidRDefault="005C378A" w:rsidP="00227544">
            <w:r w:rsidRPr="00AA0D4D">
              <w:t>923.2218</w:t>
            </w:r>
          </w:p>
        </w:tc>
        <w:tc>
          <w:tcPr>
            <w:tcW w:w="1054" w:type="dxa"/>
            <w:gridSpan w:val="2"/>
            <w:tcBorders>
              <w:top w:val="dotDotDash" w:sz="4" w:space="0" w:color="000000" w:themeColor="text1"/>
              <w:bottom w:val="single" w:sz="4" w:space="0" w:color="000000" w:themeColor="text1"/>
            </w:tcBorders>
          </w:tcPr>
          <w:p w14:paraId="7D9B438B" w14:textId="77777777" w:rsidR="005C378A" w:rsidRDefault="005C378A" w:rsidP="00227544">
            <w:r w:rsidRPr="0063075C">
              <w:t>318.167</w:t>
            </w:r>
          </w:p>
        </w:tc>
        <w:tc>
          <w:tcPr>
            <w:tcW w:w="962" w:type="dxa"/>
            <w:tcBorders>
              <w:top w:val="dotDotDash" w:sz="4" w:space="0" w:color="000000" w:themeColor="text1"/>
              <w:bottom w:val="single" w:sz="4" w:space="0" w:color="000000" w:themeColor="text1"/>
            </w:tcBorders>
          </w:tcPr>
          <w:p w14:paraId="487B2C4C" w14:textId="77777777" w:rsidR="005C378A" w:rsidRDefault="005C378A" w:rsidP="00227544">
            <w:r>
              <w:t>0.004</w:t>
            </w:r>
          </w:p>
        </w:tc>
        <w:tc>
          <w:tcPr>
            <w:tcW w:w="957" w:type="dxa"/>
            <w:tcBorders>
              <w:top w:val="dotDotDash" w:sz="4" w:space="0" w:color="000000" w:themeColor="text1"/>
              <w:bottom w:val="single" w:sz="4" w:space="0" w:color="000000" w:themeColor="text1"/>
            </w:tcBorders>
          </w:tcPr>
          <w:p w14:paraId="385F42BE" w14:textId="77777777" w:rsidR="005C378A" w:rsidRDefault="005C378A" w:rsidP="00227544">
            <w:r>
              <w:t>2.4451</w:t>
            </w:r>
          </w:p>
        </w:tc>
        <w:tc>
          <w:tcPr>
            <w:tcW w:w="958" w:type="dxa"/>
            <w:gridSpan w:val="2"/>
            <w:tcBorders>
              <w:top w:val="dotDotDash" w:sz="4" w:space="0" w:color="000000" w:themeColor="text1"/>
              <w:bottom w:val="single" w:sz="4" w:space="0" w:color="000000" w:themeColor="text1"/>
            </w:tcBorders>
          </w:tcPr>
          <w:p w14:paraId="3990326A" w14:textId="77777777" w:rsidR="005C378A" w:rsidRDefault="005C378A" w:rsidP="00227544">
            <w:r>
              <w:t>0.032</w:t>
            </w:r>
          </w:p>
        </w:tc>
        <w:tc>
          <w:tcPr>
            <w:tcW w:w="961" w:type="dxa"/>
            <w:tcBorders>
              <w:top w:val="dotDotDash" w:sz="4" w:space="0" w:color="000000" w:themeColor="text1"/>
              <w:bottom w:val="single" w:sz="4" w:space="0" w:color="000000" w:themeColor="text1"/>
            </w:tcBorders>
          </w:tcPr>
          <w:p w14:paraId="6BEAD99B"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2BAB0BFE" w14:textId="77777777" w:rsidR="005C378A" w:rsidRDefault="005C378A" w:rsidP="00227544">
            <w:r>
              <w:t>1.8395</w:t>
            </w:r>
          </w:p>
        </w:tc>
        <w:tc>
          <w:tcPr>
            <w:tcW w:w="957" w:type="dxa"/>
            <w:gridSpan w:val="2"/>
            <w:tcBorders>
              <w:top w:val="dotDotDash" w:sz="4" w:space="0" w:color="000000" w:themeColor="text1"/>
              <w:bottom w:val="single" w:sz="4" w:space="0" w:color="000000" w:themeColor="text1"/>
            </w:tcBorders>
          </w:tcPr>
          <w:p w14:paraId="5BF7CC57" w14:textId="77777777" w:rsidR="005C378A" w:rsidRDefault="005C378A" w:rsidP="00227544">
            <w:r>
              <w:t>0.519</w:t>
            </w:r>
          </w:p>
        </w:tc>
        <w:tc>
          <w:tcPr>
            <w:tcW w:w="958" w:type="dxa"/>
            <w:tcBorders>
              <w:top w:val="dotDotDash" w:sz="4" w:space="0" w:color="000000" w:themeColor="text1"/>
              <w:bottom w:val="single" w:sz="4" w:space="0" w:color="000000" w:themeColor="text1"/>
            </w:tcBorders>
          </w:tcPr>
          <w:p w14:paraId="4C6700DE" w14:textId="77777777" w:rsidR="005C378A" w:rsidRDefault="005C378A" w:rsidP="00227544">
            <w:r>
              <w:t>0.000</w:t>
            </w:r>
          </w:p>
        </w:tc>
        <w:tc>
          <w:tcPr>
            <w:tcW w:w="2879" w:type="dxa"/>
            <w:gridSpan w:val="5"/>
            <w:tcBorders>
              <w:top w:val="dotDotDash" w:sz="4" w:space="0" w:color="000000" w:themeColor="text1"/>
              <w:bottom w:val="single" w:sz="4" w:space="0" w:color="000000" w:themeColor="text1"/>
            </w:tcBorders>
          </w:tcPr>
          <w:p w14:paraId="269927A1" w14:textId="77777777" w:rsidR="005C378A" w:rsidRDefault="005C378A" w:rsidP="00227544"/>
        </w:tc>
      </w:tr>
      <w:tr w:rsidR="005C378A" w14:paraId="08028C0D"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6D613CAD" w14:textId="77777777" w:rsidR="005C378A" w:rsidRPr="00512E76" w:rsidRDefault="005C378A" w:rsidP="00227544">
            <w:r w:rsidRPr="004B52A7">
              <w:t>barren_count</w:t>
            </w:r>
          </w:p>
        </w:tc>
        <w:tc>
          <w:tcPr>
            <w:tcW w:w="1311" w:type="dxa"/>
            <w:tcBorders>
              <w:top w:val="dotDotDash" w:sz="4" w:space="0" w:color="000000" w:themeColor="text1"/>
              <w:bottom w:val="single" w:sz="4" w:space="0" w:color="000000" w:themeColor="text1"/>
            </w:tcBorders>
          </w:tcPr>
          <w:p w14:paraId="4661B4C7" w14:textId="77777777" w:rsidR="005C378A" w:rsidRPr="00512E76" w:rsidRDefault="005C378A" w:rsidP="00227544">
            <w:r w:rsidRPr="00A715C2">
              <w:t>-3.5402</w:t>
            </w:r>
          </w:p>
        </w:tc>
        <w:tc>
          <w:tcPr>
            <w:tcW w:w="1054" w:type="dxa"/>
            <w:gridSpan w:val="2"/>
            <w:tcBorders>
              <w:top w:val="dotDotDash" w:sz="4" w:space="0" w:color="000000" w:themeColor="text1"/>
              <w:bottom w:val="single" w:sz="4" w:space="0" w:color="000000" w:themeColor="text1"/>
            </w:tcBorders>
          </w:tcPr>
          <w:p w14:paraId="2D6120EB" w14:textId="77777777" w:rsidR="005C378A" w:rsidRDefault="005C378A" w:rsidP="00227544">
            <w:r w:rsidRPr="00A715C2">
              <w:t>14.484</w:t>
            </w:r>
          </w:p>
        </w:tc>
        <w:tc>
          <w:tcPr>
            <w:tcW w:w="962" w:type="dxa"/>
            <w:tcBorders>
              <w:top w:val="dotDotDash" w:sz="4" w:space="0" w:color="000000" w:themeColor="text1"/>
              <w:bottom w:val="single" w:sz="4" w:space="0" w:color="000000" w:themeColor="text1"/>
            </w:tcBorders>
          </w:tcPr>
          <w:p w14:paraId="02389D0F" w14:textId="77777777" w:rsidR="005C378A" w:rsidRDefault="005C378A" w:rsidP="00227544">
            <w:r>
              <w:t>0.807</w:t>
            </w:r>
          </w:p>
        </w:tc>
        <w:tc>
          <w:tcPr>
            <w:tcW w:w="957" w:type="dxa"/>
            <w:tcBorders>
              <w:top w:val="dotDotDash" w:sz="4" w:space="0" w:color="000000" w:themeColor="text1"/>
              <w:bottom w:val="single" w:sz="4" w:space="0" w:color="000000" w:themeColor="text1"/>
            </w:tcBorders>
          </w:tcPr>
          <w:p w14:paraId="50EDF914" w14:textId="77777777" w:rsidR="005C378A" w:rsidRDefault="005C378A" w:rsidP="00227544">
            <w:r>
              <w:t>0.0061</w:t>
            </w:r>
          </w:p>
        </w:tc>
        <w:tc>
          <w:tcPr>
            <w:tcW w:w="958" w:type="dxa"/>
            <w:gridSpan w:val="2"/>
            <w:tcBorders>
              <w:top w:val="dotDotDash" w:sz="4" w:space="0" w:color="000000" w:themeColor="text1"/>
              <w:bottom w:val="single" w:sz="4" w:space="0" w:color="000000" w:themeColor="text1"/>
            </w:tcBorders>
          </w:tcPr>
          <w:p w14:paraId="547949AF"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4C0CB21D"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1E19DFD3" w14:textId="77777777" w:rsidR="005C378A" w:rsidRDefault="005C378A" w:rsidP="00227544">
            <w:r>
              <w:t>-0.0147</w:t>
            </w:r>
          </w:p>
        </w:tc>
        <w:tc>
          <w:tcPr>
            <w:tcW w:w="957" w:type="dxa"/>
            <w:gridSpan w:val="2"/>
            <w:tcBorders>
              <w:top w:val="dotDotDash" w:sz="4" w:space="0" w:color="000000" w:themeColor="text1"/>
              <w:bottom w:val="single" w:sz="4" w:space="0" w:color="000000" w:themeColor="text1"/>
            </w:tcBorders>
          </w:tcPr>
          <w:p w14:paraId="61AC5A99" w14:textId="77777777" w:rsidR="005C378A" w:rsidRDefault="005C378A" w:rsidP="00227544">
            <w:r>
              <w:t>0.024</w:t>
            </w:r>
          </w:p>
        </w:tc>
        <w:tc>
          <w:tcPr>
            <w:tcW w:w="958" w:type="dxa"/>
            <w:tcBorders>
              <w:top w:val="dotDotDash" w:sz="4" w:space="0" w:color="000000" w:themeColor="text1"/>
              <w:bottom w:val="single" w:sz="4" w:space="0" w:color="000000" w:themeColor="text1"/>
            </w:tcBorders>
          </w:tcPr>
          <w:p w14:paraId="2C1C7B39" w14:textId="77777777" w:rsidR="005C378A" w:rsidRDefault="005C378A" w:rsidP="00227544">
            <w:r>
              <w:t>0.534</w:t>
            </w:r>
          </w:p>
        </w:tc>
        <w:tc>
          <w:tcPr>
            <w:tcW w:w="2879" w:type="dxa"/>
            <w:gridSpan w:val="5"/>
            <w:tcBorders>
              <w:top w:val="dotDotDash" w:sz="4" w:space="0" w:color="000000" w:themeColor="text1"/>
              <w:bottom w:val="single" w:sz="4" w:space="0" w:color="000000" w:themeColor="text1"/>
            </w:tcBorders>
          </w:tcPr>
          <w:p w14:paraId="5BAFF2CD" w14:textId="77777777" w:rsidR="005C378A" w:rsidRDefault="005C378A" w:rsidP="00227544"/>
        </w:tc>
      </w:tr>
      <w:tr w:rsidR="005C378A" w14:paraId="016E5F9F"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64C37F93" w14:textId="77777777" w:rsidR="005C378A" w:rsidRPr="00512E76" w:rsidRDefault="005C378A" w:rsidP="00227544">
            <w:r w:rsidRPr="004B52A7">
              <w:t>camp_count</w:t>
            </w:r>
          </w:p>
        </w:tc>
        <w:tc>
          <w:tcPr>
            <w:tcW w:w="1311" w:type="dxa"/>
            <w:tcBorders>
              <w:top w:val="dotDotDash" w:sz="4" w:space="0" w:color="000000" w:themeColor="text1"/>
              <w:bottom w:val="single" w:sz="4" w:space="0" w:color="000000" w:themeColor="text1"/>
            </w:tcBorders>
          </w:tcPr>
          <w:p w14:paraId="3B0214BA" w14:textId="77777777" w:rsidR="005C378A" w:rsidRPr="00512E76" w:rsidRDefault="005C378A" w:rsidP="00227544">
            <w:r w:rsidRPr="00A715C2">
              <w:t>-31.3199</w:t>
            </w:r>
          </w:p>
        </w:tc>
        <w:tc>
          <w:tcPr>
            <w:tcW w:w="1054" w:type="dxa"/>
            <w:gridSpan w:val="2"/>
            <w:tcBorders>
              <w:top w:val="dotDotDash" w:sz="4" w:space="0" w:color="000000" w:themeColor="text1"/>
              <w:bottom w:val="single" w:sz="4" w:space="0" w:color="000000" w:themeColor="text1"/>
            </w:tcBorders>
          </w:tcPr>
          <w:p w14:paraId="59E1F3BE" w14:textId="77777777" w:rsidR="005C378A" w:rsidRDefault="005C378A" w:rsidP="00227544">
            <w:r w:rsidRPr="00A715C2">
              <w:t>18.939</w:t>
            </w:r>
          </w:p>
        </w:tc>
        <w:tc>
          <w:tcPr>
            <w:tcW w:w="962" w:type="dxa"/>
            <w:tcBorders>
              <w:top w:val="dotDotDash" w:sz="4" w:space="0" w:color="000000" w:themeColor="text1"/>
              <w:bottom w:val="single" w:sz="4" w:space="0" w:color="000000" w:themeColor="text1"/>
            </w:tcBorders>
          </w:tcPr>
          <w:p w14:paraId="4C50A780" w14:textId="77777777" w:rsidR="005C378A" w:rsidRDefault="005C378A" w:rsidP="00227544">
            <w:r>
              <w:t>0.100</w:t>
            </w:r>
          </w:p>
        </w:tc>
        <w:tc>
          <w:tcPr>
            <w:tcW w:w="957" w:type="dxa"/>
            <w:tcBorders>
              <w:top w:val="dotDotDash" w:sz="4" w:space="0" w:color="000000" w:themeColor="text1"/>
              <w:bottom w:val="single" w:sz="4" w:space="0" w:color="000000" w:themeColor="text1"/>
            </w:tcBorders>
          </w:tcPr>
          <w:p w14:paraId="4D36AD6B" w14:textId="77777777" w:rsidR="005C378A" w:rsidRDefault="005C378A" w:rsidP="00227544">
            <w:r>
              <w:t>-0.0735</w:t>
            </w:r>
          </w:p>
        </w:tc>
        <w:tc>
          <w:tcPr>
            <w:tcW w:w="958" w:type="dxa"/>
            <w:gridSpan w:val="2"/>
            <w:tcBorders>
              <w:top w:val="dotDotDash" w:sz="4" w:space="0" w:color="000000" w:themeColor="text1"/>
              <w:bottom w:val="single" w:sz="4" w:space="0" w:color="000000" w:themeColor="text1"/>
            </w:tcBorders>
          </w:tcPr>
          <w:p w14:paraId="45A7CC7E"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515CE9D2"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7482F447" w14:textId="77777777" w:rsidR="005C378A" w:rsidRDefault="005C378A" w:rsidP="00227544">
            <w:r>
              <w:t>-0.0296</w:t>
            </w:r>
          </w:p>
        </w:tc>
        <w:tc>
          <w:tcPr>
            <w:tcW w:w="957" w:type="dxa"/>
            <w:gridSpan w:val="2"/>
            <w:tcBorders>
              <w:top w:val="dotDotDash" w:sz="4" w:space="0" w:color="000000" w:themeColor="text1"/>
              <w:bottom w:val="single" w:sz="4" w:space="0" w:color="000000" w:themeColor="text1"/>
            </w:tcBorders>
          </w:tcPr>
          <w:p w14:paraId="5EE24393" w14:textId="77777777" w:rsidR="005C378A" w:rsidRDefault="005C378A" w:rsidP="00227544">
            <w:r>
              <w:t>0.031</w:t>
            </w:r>
          </w:p>
        </w:tc>
        <w:tc>
          <w:tcPr>
            <w:tcW w:w="958" w:type="dxa"/>
            <w:tcBorders>
              <w:top w:val="dotDotDash" w:sz="4" w:space="0" w:color="000000" w:themeColor="text1"/>
              <w:bottom w:val="single" w:sz="4" w:space="0" w:color="000000" w:themeColor="text1"/>
            </w:tcBorders>
          </w:tcPr>
          <w:p w14:paraId="29473AF1" w14:textId="77777777" w:rsidR="005C378A" w:rsidRDefault="005C378A" w:rsidP="00227544">
            <w:r>
              <w:t>0.338</w:t>
            </w:r>
          </w:p>
        </w:tc>
        <w:tc>
          <w:tcPr>
            <w:tcW w:w="2879" w:type="dxa"/>
            <w:gridSpan w:val="5"/>
            <w:tcBorders>
              <w:top w:val="dotDotDash" w:sz="4" w:space="0" w:color="000000" w:themeColor="text1"/>
              <w:bottom w:val="single" w:sz="4" w:space="0" w:color="000000" w:themeColor="text1"/>
            </w:tcBorders>
          </w:tcPr>
          <w:p w14:paraId="2CACEF8B" w14:textId="77777777" w:rsidR="005C378A" w:rsidRDefault="005C378A" w:rsidP="00227544"/>
        </w:tc>
      </w:tr>
      <w:tr w:rsidR="005C378A" w14:paraId="0955AF3A"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02570C1D" w14:textId="77777777" w:rsidR="005C378A" w:rsidRPr="00512E76" w:rsidRDefault="005C378A" w:rsidP="00227544">
            <w:r w:rsidRPr="00B73C4C">
              <w:t>suburban_count</w:t>
            </w:r>
          </w:p>
        </w:tc>
        <w:tc>
          <w:tcPr>
            <w:tcW w:w="1311" w:type="dxa"/>
            <w:tcBorders>
              <w:top w:val="dotDotDash" w:sz="4" w:space="0" w:color="000000" w:themeColor="text1"/>
              <w:bottom w:val="single" w:sz="4" w:space="0" w:color="000000" w:themeColor="text1"/>
            </w:tcBorders>
          </w:tcPr>
          <w:p w14:paraId="60787499" w14:textId="77777777" w:rsidR="005C378A" w:rsidRPr="00512E76" w:rsidRDefault="005C378A" w:rsidP="00227544">
            <w:r w:rsidRPr="00983E49">
              <w:t>134.4944</w:t>
            </w:r>
          </w:p>
        </w:tc>
        <w:tc>
          <w:tcPr>
            <w:tcW w:w="1054" w:type="dxa"/>
            <w:gridSpan w:val="2"/>
            <w:tcBorders>
              <w:top w:val="dotDotDash" w:sz="4" w:space="0" w:color="000000" w:themeColor="text1"/>
              <w:bottom w:val="single" w:sz="4" w:space="0" w:color="000000" w:themeColor="text1"/>
            </w:tcBorders>
          </w:tcPr>
          <w:p w14:paraId="081E028A" w14:textId="77777777" w:rsidR="005C378A" w:rsidRDefault="005C378A" w:rsidP="00227544">
            <w:r w:rsidRPr="00A715C2">
              <w:t>75.814</w:t>
            </w:r>
          </w:p>
        </w:tc>
        <w:tc>
          <w:tcPr>
            <w:tcW w:w="962" w:type="dxa"/>
            <w:tcBorders>
              <w:top w:val="dotDotDash" w:sz="4" w:space="0" w:color="000000" w:themeColor="text1"/>
              <w:bottom w:val="single" w:sz="4" w:space="0" w:color="000000" w:themeColor="text1"/>
            </w:tcBorders>
          </w:tcPr>
          <w:p w14:paraId="0254110C" w14:textId="77777777" w:rsidR="005C378A" w:rsidRDefault="005C378A" w:rsidP="00227544">
            <w:r>
              <w:t>0.078</w:t>
            </w:r>
          </w:p>
        </w:tc>
        <w:tc>
          <w:tcPr>
            <w:tcW w:w="957" w:type="dxa"/>
            <w:tcBorders>
              <w:top w:val="dotDotDash" w:sz="4" w:space="0" w:color="000000" w:themeColor="text1"/>
              <w:bottom w:val="single" w:sz="4" w:space="0" w:color="000000" w:themeColor="text1"/>
            </w:tcBorders>
          </w:tcPr>
          <w:p w14:paraId="6E1EB394" w14:textId="77777777" w:rsidR="005C378A" w:rsidRDefault="005C378A" w:rsidP="00227544">
            <w:r>
              <w:t>0.2089</w:t>
            </w:r>
          </w:p>
        </w:tc>
        <w:tc>
          <w:tcPr>
            <w:tcW w:w="958" w:type="dxa"/>
            <w:gridSpan w:val="2"/>
            <w:tcBorders>
              <w:top w:val="dotDotDash" w:sz="4" w:space="0" w:color="000000" w:themeColor="text1"/>
              <w:bottom w:val="single" w:sz="4" w:space="0" w:color="000000" w:themeColor="text1"/>
            </w:tcBorders>
          </w:tcPr>
          <w:p w14:paraId="2ADC13C7" w14:textId="77777777" w:rsidR="005C378A" w:rsidRDefault="005C378A" w:rsidP="00227544">
            <w:r>
              <w:t>0.005</w:t>
            </w:r>
          </w:p>
        </w:tc>
        <w:tc>
          <w:tcPr>
            <w:tcW w:w="961" w:type="dxa"/>
            <w:tcBorders>
              <w:top w:val="dotDotDash" w:sz="4" w:space="0" w:color="000000" w:themeColor="text1"/>
              <w:bottom w:val="single" w:sz="4" w:space="0" w:color="000000" w:themeColor="text1"/>
            </w:tcBorders>
          </w:tcPr>
          <w:p w14:paraId="57EF9022"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1C795633" w14:textId="77777777" w:rsidR="005C378A" w:rsidRDefault="005C378A" w:rsidP="00227544">
            <w:r>
              <w:t>0.2039</w:t>
            </w:r>
          </w:p>
        </w:tc>
        <w:tc>
          <w:tcPr>
            <w:tcW w:w="957" w:type="dxa"/>
            <w:gridSpan w:val="2"/>
            <w:tcBorders>
              <w:top w:val="dotDotDash" w:sz="4" w:space="0" w:color="000000" w:themeColor="text1"/>
              <w:bottom w:val="single" w:sz="4" w:space="0" w:color="000000" w:themeColor="text1"/>
            </w:tcBorders>
          </w:tcPr>
          <w:p w14:paraId="75ECA0F1" w14:textId="77777777" w:rsidR="005C378A" w:rsidRDefault="005C378A" w:rsidP="00227544">
            <w:r>
              <w:t>0.123</w:t>
            </w:r>
          </w:p>
        </w:tc>
        <w:tc>
          <w:tcPr>
            <w:tcW w:w="958" w:type="dxa"/>
            <w:tcBorders>
              <w:top w:val="dotDotDash" w:sz="4" w:space="0" w:color="000000" w:themeColor="text1"/>
              <w:bottom w:val="single" w:sz="4" w:space="0" w:color="000000" w:themeColor="text1"/>
            </w:tcBorders>
          </w:tcPr>
          <w:p w14:paraId="11E72328" w14:textId="77777777" w:rsidR="005C378A" w:rsidRDefault="005C378A" w:rsidP="00227544">
            <w:r>
              <w:t>0.098</w:t>
            </w:r>
          </w:p>
        </w:tc>
        <w:tc>
          <w:tcPr>
            <w:tcW w:w="2879" w:type="dxa"/>
            <w:gridSpan w:val="5"/>
            <w:tcBorders>
              <w:top w:val="dotDotDash" w:sz="4" w:space="0" w:color="000000" w:themeColor="text1"/>
              <w:bottom w:val="single" w:sz="4" w:space="0" w:color="000000" w:themeColor="text1"/>
            </w:tcBorders>
          </w:tcPr>
          <w:p w14:paraId="6B3C74B2" w14:textId="77777777" w:rsidR="005C378A" w:rsidRDefault="005C378A" w:rsidP="00227544"/>
        </w:tc>
      </w:tr>
      <w:tr w:rsidR="005C378A" w14:paraId="0FF1B9D8"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3730008A" w14:textId="77777777" w:rsidR="005C378A" w:rsidRPr="00512E76" w:rsidRDefault="005C378A" w:rsidP="00227544">
            <w:r w:rsidRPr="00B73C4C">
              <w:t>tent_count</w:t>
            </w:r>
          </w:p>
        </w:tc>
        <w:tc>
          <w:tcPr>
            <w:tcW w:w="1311" w:type="dxa"/>
            <w:tcBorders>
              <w:top w:val="dotDotDash" w:sz="4" w:space="0" w:color="000000" w:themeColor="text1"/>
              <w:bottom w:val="single" w:sz="4" w:space="0" w:color="000000" w:themeColor="text1"/>
            </w:tcBorders>
          </w:tcPr>
          <w:p w14:paraId="47917803" w14:textId="77777777" w:rsidR="005C378A" w:rsidRPr="00512E76" w:rsidRDefault="005C378A" w:rsidP="00227544">
            <w:r w:rsidRPr="00983E49">
              <w:t>-43.8778</w:t>
            </w:r>
          </w:p>
        </w:tc>
        <w:tc>
          <w:tcPr>
            <w:tcW w:w="1054" w:type="dxa"/>
            <w:gridSpan w:val="2"/>
            <w:tcBorders>
              <w:top w:val="dotDotDash" w:sz="4" w:space="0" w:color="000000" w:themeColor="text1"/>
              <w:bottom w:val="single" w:sz="4" w:space="0" w:color="000000" w:themeColor="text1"/>
            </w:tcBorders>
          </w:tcPr>
          <w:p w14:paraId="32B5E8AD" w14:textId="77777777" w:rsidR="005C378A" w:rsidRDefault="005C378A" w:rsidP="00227544">
            <w:r w:rsidRPr="00A715C2">
              <w:t>28.489</w:t>
            </w:r>
          </w:p>
        </w:tc>
        <w:tc>
          <w:tcPr>
            <w:tcW w:w="962" w:type="dxa"/>
            <w:tcBorders>
              <w:top w:val="dotDotDash" w:sz="4" w:space="0" w:color="000000" w:themeColor="text1"/>
              <w:bottom w:val="single" w:sz="4" w:space="0" w:color="000000" w:themeColor="text1"/>
            </w:tcBorders>
          </w:tcPr>
          <w:p w14:paraId="07AC09AC" w14:textId="77777777" w:rsidR="005C378A" w:rsidRDefault="005C378A" w:rsidP="00227544">
            <w:r>
              <w:t>0.125</w:t>
            </w:r>
          </w:p>
        </w:tc>
        <w:tc>
          <w:tcPr>
            <w:tcW w:w="957" w:type="dxa"/>
            <w:tcBorders>
              <w:top w:val="dotDotDash" w:sz="4" w:space="0" w:color="000000" w:themeColor="text1"/>
              <w:bottom w:val="single" w:sz="4" w:space="0" w:color="000000" w:themeColor="text1"/>
            </w:tcBorders>
          </w:tcPr>
          <w:p w14:paraId="6DFBB046" w14:textId="77777777" w:rsidR="005C378A" w:rsidRDefault="005C378A" w:rsidP="00227544">
            <w:r>
              <w:t>-0.1737</w:t>
            </w:r>
          </w:p>
        </w:tc>
        <w:tc>
          <w:tcPr>
            <w:tcW w:w="958" w:type="dxa"/>
            <w:gridSpan w:val="2"/>
            <w:tcBorders>
              <w:top w:val="dotDotDash" w:sz="4" w:space="0" w:color="000000" w:themeColor="text1"/>
              <w:bottom w:val="single" w:sz="4" w:space="0" w:color="000000" w:themeColor="text1"/>
            </w:tcBorders>
          </w:tcPr>
          <w:p w14:paraId="6BA64E62" w14:textId="77777777" w:rsidR="005C378A" w:rsidRDefault="005C378A" w:rsidP="00227544">
            <w:r>
              <w:t>0.004</w:t>
            </w:r>
          </w:p>
        </w:tc>
        <w:tc>
          <w:tcPr>
            <w:tcW w:w="961" w:type="dxa"/>
            <w:tcBorders>
              <w:top w:val="dotDotDash" w:sz="4" w:space="0" w:color="000000" w:themeColor="text1"/>
              <w:bottom w:val="single" w:sz="4" w:space="0" w:color="000000" w:themeColor="text1"/>
            </w:tcBorders>
          </w:tcPr>
          <w:p w14:paraId="661A079A"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0FA27E7B" w14:textId="77777777" w:rsidR="005C378A" w:rsidRDefault="005C378A" w:rsidP="00227544">
            <w:r>
              <w:t>-0.1682</w:t>
            </w:r>
          </w:p>
        </w:tc>
        <w:tc>
          <w:tcPr>
            <w:tcW w:w="957" w:type="dxa"/>
            <w:gridSpan w:val="2"/>
            <w:tcBorders>
              <w:top w:val="dotDotDash" w:sz="4" w:space="0" w:color="000000" w:themeColor="text1"/>
              <w:bottom w:val="single" w:sz="4" w:space="0" w:color="000000" w:themeColor="text1"/>
            </w:tcBorders>
          </w:tcPr>
          <w:p w14:paraId="67DAFEDC" w14:textId="77777777" w:rsidR="005C378A" w:rsidRDefault="005C378A" w:rsidP="00227544">
            <w:r>
              <w:t>0.047</w:t>
            </w:r>
          </w:p>
        </w:tc>
        <w:tc>
          <w:tcPr>
            <w:tcW w:w="958" w:type="dxa"/>
            <w:tcBorders>
              <w:top w:val="dotDotDash" w:sz="4" w:space="0" w:color="000000" w:themeColor="text1"/>
              <w:bottom w:val="single" w:sz="4" w:space="0" w:color="000000" w:themeColor="text1"/>
            </w:tcBorders>
          </w:tcPr>
          <w:p w14:paraId="57703761" w14:textId="77777777" w:rsidR="005C378A" w:rsidRDefault="005C378A" w:rsidP="00227544">
            <w:r>
              <w:t>0.000</w:t>
            </w:r>
          </w:p>
        </w:tc>
        <w:tc>
          <w:tcPr>
            <w:tcW w:w="2879" w:type="dxa"/>
            <w:gridSpan w:val="5"/>
            <w:tcBorders>
              <w:top w:val="dotDotDash" w:sz="4" w:space="0" w:color="000000" w:themeColor="text1"/>
              <w:bottom w:val="single" w:sz="4" w:space="0" w:color="000000" w:themeColor="text1"/>
            </w:tcBorders>
          </w:tcPr>
          <w:p w14:paraId="07096EF1" w14:textId="77777777" w:rsidR="005C378A" w:rsidRDefault="005C378A" w:rsidP="00227544"/>
        </w:tc>
      </w:tr>
      <w:tr w:rsidR="005C378A" w14:paraId="792562B9" w14:textId="77777777" w:rsidTr="00227544">
        <w:trPr>
          <w:gridAfter w:val="1"/>
          <w:wAfter w:w="7" w:type="dxa"/>
          <w:trHeight w:val="615"/>
        </w:trPr>
        <w:tc>
          <w:tcPr>
            <w:tcW w:w="2904" w:type="dxa"/>
            <w:tcBorders>
              <w:top w:val="dotDotDash" w:sz="4" w:space="0" w:color="000000" w:themeColor="text1"/>
              <w:bottom w:val="single" w:sz="4" w:space="0" w:color="000000" w:themeColor="text1"/>
            </w:tcBorders>
          </w:tcPr>
          <w:p w14:paraId="47733FFA" w14:textId="77777777" w:rsidR="005C378A" w:rsidRPr="00512E76" w:rsidRDefault="005C378A" w:rsidP="00227544">
            <w:r w:rsidRPr="00B73C4C">
              <w:t>urban_count</w:t>
            </w:r>
          </w:p>
        </w:tc>
        <w:tc>
          <w:tcPr>
            <w:tcW w:w="1311" w:type="dxa"/>
            <w:tcBorders>
              <w:top w:val="dotDotDash" w:sz="4" w:space="0" w:color="000000" w:themeColor="text1"/>
              <w:bottom w:val="single" w:sz="4" w:space="0" w:color="000000" w:themeColor="text1"/>
            </w:tcBorders>
          </w:tcPr>
          <w:p w14:paraId="2B6A2F9D" w14:textId="77777777" w:rsidR="005C378A" w:rsidRPr="00512E76" w:rsidRDefault="005C378A" w:rsidP="00227544">
            <w:r w:rsidRPr="00983E49">
              <w:t>-71.1969</w:t>
            </w:r>
          </w:p>
        </w:tc>
        <w:tc>
          <w:tcPr>
            <w:tcW w:w="1054" w:type="dxa"/>
            <w:gridSpan w:val="2"/>
            <w:tcBorders>
              <w:top w:val="dotDotDash" w:sz="4" w:space="0" w:color="000000" w:themeColor="text1"/>
              <w:bottom w:val="single" w:sz="4" w:space="0" w:color="000000" w:themeColor="text1"/>
            </w:tcBorders>
          </w:tcPr>
          <w:p w14:paraId="23B1730D" w14:textId="77777777" w:rsidR="005C378A" w:rsidRDefault="005C378A" w:rsidP="00227544">
            <w:r w:rsidRPr="00A715C2">
              <w:t>30.080</w:t>
            </w:r>
          </w:p>
        </w:tc>
        <w:tc>
          <w:tcPr>
            <w:tcW w:w="962" w:type="dxa"/>
            <w:tcBorders>
              <w:top w:val="dotDotDash" w:sz="4" w:space="0" w:color="000000" w:themeColor="text1"/>
              <w:bottom w:val="single" w:sz="4" w:space="0" w:color="000000" w:themeColor="text1"/>
            </w:tcBorders>
          </w:tcPr>
          <w:p w14:paraId="69978B78" w14:textId="77777777" w:rsidR="005C378A" w:rsidRDefault="005C378A" w:rsidP="00227544">
            <w:r>
              <w:t>0.019</w:t>
            </w:r>
          </w:p>
        </w:tc>
        <w:tc>
          <w:tcPr>
            <w:tcW w:w="957" w:type="dxa"/>
            <w:tcBorders>
              <w:top w:val="dotDotDash" w:sz="4" w:space="0" w:color="000000" w:themeColor="text1"/>
              <w:bottom w:val="single" w:sz="4" w:space="0" w:color="000000" w:themeColor="text1"/>
            </w:tcBorders>
          </w:tcPr>
          <w:p w14:paraId="75CE5AF3" w14:textId="77777777" w:rsidR="005C378A" w:rsidRDefault="005C378A" w:rsidP="00227544">
            <w:r>
              <w:t>-0.1188</w:t>
            </w:r>
          </w:p>
        </w:tc>
        <w:tc>
          <w:tcPr>
            <w:tcW w:w="958" w:type="dxa"/>
            <w:gridSpan w:val="2"/>
            <w:tcBorders>
              <w:top w:val="dotDotDash" w:sz="4" w:space="0" w:color="000000" w:themeColor="text1"/>
              <w:bottom w:val="single" w:sz="4" w:space="0" w:color="000000" w:themeColor="text1"/>
            </w:tcBorders>
          </w:tcPr>
          <w:p w14:paraId="08840CC0" w14:textId="77777777" w:rsidR="005C378A" w:rsidRDefault="005C378A" w:rsidP="00227544">
            <w:r>
              <w:t>0.002</w:t>
            </w:r>
          </w:p>
        </w:tc>
        <w:tc>
          <w:tcPr>
            <w:tcW w:w="961" w:type="dxa"/>
            <w:tcBorders>
              <w:top w:val="dotDotDash" w:sz="4" w:space="0" w:color="000000" w:themeColor="text1"/>
              <w:bottom w:val="single" w:sz="4" w:space="0" w:color="000000" w:themeColor="text1"/>
            </w:tcBorders>
          </w:tcPr>
          <w:p w14:paraId="4CE9C797" w14:textId="77777777" w:rsidR="005C378A" w:rsidRDefault="005C378A" w:rsidP="00227544">
            <w:r>
              <w:t>0.000</w:t>
            </w:r>
          </w:p>
        </w:tc>
        <w:tc>
          <w:tcPr>
            <w:tcW w:w="957" w:type="dxa"/>
            <w:tcBorders>
              <w:top w:val="dotDotDash" w:sz="4" w:space="0" w:color="000000" w:themeColor="text1"/>
              <w:bottom w:val="single" w:sz="4" w:space="0" w:color="000000" w:themeColor="text1"/>
            </w:tcBorders>
          </w:tcPr>
          <w:p w14:paraId="3F9ABB48" w14:textId="77777777" w:rsidR="005C378A" w:rsidRDefault="005C378A" w:rsidP="00227544">
            <w:r>
              <w:t>-0.0629</w:t>
            </w:r>
          </w:p>
        </w:tc>
        <w:tc>
          <w:tcPr>
            <w:tcW w:w="957" w:type="dxa"/>
            <w:gridSpan w:val="2"/>
            <w:tcBorders>
              <w:top w:val="dotDotDash" w:sz="4" w:space="0" w:color="000000" w:themeColor="text1"/>
              <w:bottom w:val="single" w:sz="4" w:space="0" w:color="000000" w:themeColor="text1"/>
            </w:tcBorders>
          </w:tcPr>
          <w:p w14:paraId="2E0F8150" w14:textId="77777777" w:rsidR="005C378A" w:rsidRDefault="005C378A" w:rsidP="00227544">
            <w:r>
              <w:t>0.049</w:t>
            </w:r>
          </w:p>
        </w:tc>
        <w:tc>
          <w:tcPr>
            <w:tcW w:w="958" w:type="dxa"/>
            <w:tcBorders>
              <w:top w:val="dotDotDash" w:sz="4" w:space="0" w:color="000000" w:themeColor="text1"/>
              <w:bottom w:val="single" w:sz="4" w:space="0" w:color="000000" w:themeColor="text1"/>
            </w:tcBorders>
          </w:tcPr>
          <w:p w14:paraId="23E0B0D5" w14:textId="77777777" w:rsidR="005C378A" w:rsidRDefault="005C378A" w:rsidP="00227544">
            <w:r>
              <w:t>0.199</w:t>
            </w:r>
          </w:p>
        </w:tc>
        <w:tc>
          <w:tcPr>
            <w:tcW w:w="2879" w:type="dxa"/>
            <w:gridSpan w:val="5"/>
            <w:tcBorders>
              <w:top w:val="dotDotDash" w:sz="4" w:space="0" w:color="000000" w:themeColor="text1"/>
              <w:bottom w:val="single" w:sz="4" w:space="0" w:color="000000" w:themeColor="text1"/>
            </w:tcBorders>
          </w:tcPr>
          <w:p w14:paraId="7DEC9BE4" w14:textId="77777777" w:rsidR="005C378A" w:rsidRDefault="005C378A" w:rsidP="00227544"/>
        </w:tc>
      </w:tr>
      <w:tr w:rsidR="005C378A" w14:paraId="3A38BA3C" w14:textId="77777777" w:rsidTr="00227544">
        <w:trPr>
          <w:gridAfter w:val="1"/>
          <w:wAfter w:w="7" w:type="dxa"/>
          <w:trHeight w:val="615"/>
        </w:trPr>
        <w:tc>
          <w:tcPr>
            <w:tcW w:w="2904" w:type="dxa"/>
            <w:tcBorders>
              <w:top w:val="single" w:sz="4" w:space="0" w:color="000000" w:themeColor="text1"/>
              <w:bottom w:val="single" w:sz="4" w:space="0" w:color="000000" w:themeColor="text1"/>
            </w:tcBorders>
          </w:tcPr>
          <w:p w14:paraId="2A495ECD" w14:textId="77777777" w:rsidR="005C378A" w:rsidRDefault="005C378A" w:rsidP="00227544">
            <w:r>
              <w:t>Predicted # of injuries (95% CI)</w:t>
            </w:r>
          </w:p>
        </w:tc>
        <w:tc>
          <w:tcPr>
            <w:tcW w:w="3327" w:type="dxa"/>
            <w:gridSpan w:val="4"/>
            <w:tcBorders>
              <w:top w:val="single" w:sz="4" w:space="0" w:color="000000" w:themeColor="text1"/>
              <w:bottom w:val="single" w:sz="4" w:space="0" w:color="000000" w:themeColor="text1"/>
            </w:tcBorders>
          </w:tcPr>
          <w:p w14:paraId="5BC6A13B" w14:textId="77777777" w:rsidR="005C378A" w:rsidRDefault="005C378A" w:rsidP="00227544">
            <w:r w:rsidRPr="006D373D">
              <w:t>81971.41</w:t>
            </w:r>
            <w:r>
              <w:t xml:space="preserve"> (</w:t>
            </w:r>
            <w:r w:rsidRPr="00A87E92">
              <w:t>-276346.31, 440289.14</w:t>
            </w:r>
            <w:r>
              <w:t>)</w:t>
            </w:r>
          </w:p>
        </w:tc>
        <w:tc>
          <w:tcPr>
            <w:tcW w:w="2876" w:type="dxa"/>
            <w:gridSpan w:val="4"/>
            <w:tcBorders>
              <w:top w:val="single" w:sz="4" w:space="0" w:color="000000" w:themeColor="text1"/>
              <w:bottom w:val="single" w:sz="4" w:space="0" w:color="000000" w:themeColor="text1"/>
            </w:tcBorders>
          </w:tcPr>
          <w:p w14:paraId="6E244E90" w14:textId="77777777" w:rsidR="005C378A" w:rsidRDefault="005C378A" w:rsidP="00227544">
            <w:r w:rsidRPr="00CB19CB">
              <w:t>81923.43</w:t>
            </w:r>
            <w:r>
              <w:t xml:space="preserve"> (</w:t>
            </w:r>
            <w:r w:rsidRPr="00C2311E">
              <w:t>66918.63, 100355.73</w:t>
            </w:r>
            <w:r>
              <w:t>)</w:t>
            </w:r>
          </w:p>
        </w:tc>
        <w:tc>
          <w:tcPr>
            <w:tcW w:w="2872" w:type="dxa"/>
            <w:gridSpan w:val="4"/>
            <w:tcBorders>
              <w:top w:val="single" w:sz="4" w:space="0" w:color="000000" w:themeColor="text1"/>
              <w:bottom w:val="single" w:sz="4" w:space="0" w:color="000000" w:themeColor="text1"/>
            </w:tcBorders>
          </w:tcPr>
          <w:p w14:paraId="01E6ED5E" w14:textId="77777777" w:rsidR="005C378A" w:rsidRDefault="005C378A" w:rsidP="00227544">
            <w:r w:rsidRPr="00262FED">
              <w:t>78626.93</w:t>
            </w:r>
            <w:r>
              <w:t xml:space="preserve"> (</w:t>
            </w:r>
            <w:r w:rsidRPr="00262FED">
              <w:t>3869.67, 1801730.94</w:t>
            </w:r>
            <w:r>
              <w:t>)</w:t>
            </w:r>
          </w:p>
        </w:tc>
        <w:tc>
          <w:tcPr>
            <w:tcW w:w="2879" w:type="dxa"/>
            <w:gridSpan w:val="5"/>
            <w:tcBorders>
              <w:top w:val="single" w:sz="4" w:space="0" w:color="000000" w:themeColor="text1"/>
              <w:bottom w:val="single" w:sz="4" w:space="0" w:color="000000" w:themeColor="text1"/>
            </w:tcBorders>
          </w:tcPr>
          <w:p w14:paraId="132CD6CA" w14:textId="77777777" w:rsidR="005C378A" w:rsidRPr="00262FED" w:rsidRDefault="005C378A" w:rsidP="00227544"/>
        </w:tc>
      </w:tr>
      <w:tr w:rsidR="005C378A" w14:paraId="3583A6F6" w14:textId="77777777" w:rsidTr="00227544">
        <w:trPr>
          <w:gridAfter w:val="1"/>
          <w:wAfter w:w="7" w:type="dxa"/>
          <w:trHeight w:val="615"/>
        </w:trPr>
        <w:tc>
          <w:tcPr>
            <w:tcW w:w="2904" w:type="dxa"/>
            <w:tcBorders>
              <w:top w:val="single" w:sz="4" w:space="0" w:color="000000" w:themeColor="text1"/>
            </w:tcBorders>
          </w:tcPr>
          <w:p w14:paraId="2D4D58C7" w14:textId="77777777" w:rsidR="005C378A" w:rsidRDefault="005C378A" w:rsidP="00227544">
            <w:r>
              <w:t>Predicted # of surgeries (95% Ci)</w:t>
            </w:r>
          </w:p>
        </w:tc>
        <w:tc>
          <w:tcPr>
            <w:tcW w:w="3327" w:type="dxa"/>
            <w:gridSpan w:val="4"/>
            <w:tcBorders>
              <w:top w:val="single" w:sz="4" w:space="0" w:color="000000" w:themeColor="text1"/>
            </w:tcBorders>
          </w:tcPr>
          <w:p w14:paraId="0B53A0FD" w14:textId="77777777" w:rsidR="005C378A" w:rsidRDefault="005C378A" w:rsidP="00227544">
            <w:r w:rsidRPr="00A87E92">
              <w:t>19263.28</w:t>
            </w:r>
            <w:r>
              <w:t xml:space="preserve"> (</w:t>
            </w:r>
            <w:r w:rsidRPr="006576D5">
              <w:t>-64941.38, 103467.95</w:t>
            </w:r>
            <w:r>
              <w:t>)</w:t>
            </w:r>
          </w:p>
        </w:tc>
        <w:tc>
          <w:tcPr>
            <w:tcW w:w="2876" w:type="dxa"/>
            <w:gridSpan w:val="4"/>
            <w:tcBorders>
              <w:top w:val="single" w:sz="4" w:space="0" w:color="000000" w:themeColor="text1"/>
            </w:tcBorders>
          </w:tcPr>
          <w:p w14:paraId="2253C375" w14:textId="77777777" w:rsidR="005C378A" w:rsidRDefault="005C378A" w:rsidP="00227544">
            <w:r w:rsidRPr="00B4169A">
              <w:t>19252.00</w:t>
            </w:r>
            <w:r>
              <w:t xml:space="preserve"> (</w:t>
            </w:r>
            <w:r w:rsidRPr="00B4169A">
              <w:t>15725.88, 23583.60</w:t>
            </w:r>
            <w:r>
              <w:t>)</w:t>
            </w:r>
          </w:p>
        </w:tc>
        <w:tc>
          <w:tcPr>
            <w:tcW w:w="2872" w:type="dxa"/>
            <w:gridSpan w:val="4"/>
            <w:tcBorders>
              <w:top w:val="single" w:sz="4" w:space="0" w:color="000000" w:themeColor="text1"/>
            </w:tcBorders>
          </w:tcPr>
          <w:p w14:paraId="027E262A" w14:textId="77777777" w:rsidR="005C378A" w:rsidRDefault="005C378A" w:rsidP="00227544">
            <w:r w:rsidRPr="00262FED">
              <w:t>18477.33</w:t>
            </w:r>
            <w:r>
              <w:t xml:space="preserve"> (</w:t>
            </w:r>
            <w:r w:rsidRPr="00262FED">
              <w:t>909.37, 423406.77</w:t>
            </w:r>
            <w:r>
              <w:t>)</w:t>
            </w:r>
          </w:p>
        </w:tc>
        <w:tc>
          <w:tcPr>
            <w:tcW w:w="2879" w:type="dxa"/>
            <w:gridSpan w:val="5"/>
            <w:tcBorders>
              <w:top w:val="single" w:sz="4" w:space="0" w:color="000000" w:themeColor="text1"/>
            </w:tcBorders>
          </w:tcPr>
          <w:p w14:paraId="3C8AD7C0" w14:textId="77777777" w:rsidR="005C378A" w:rsidRPr="00262FED" w:rsidRDefault="005C378A" w:rsidP="00227544"/>
        </w:tc>
      </w:tr>
    </w:tbl>
    <w:p w14:paraId="16A8FD6B" w14:textId="77777777" w:rsidR="005C378A" w:rsidRDefault="005C378A" w:rsidP="005C378A"/>
    <w:p w14:paraId="6C0EA160" w14:textId="77777777" w:rsidR="005C378A" w:rsidRPr="00434770" w:rsidRDefault="005C378A" w:rsidP="005C378A"/>
    <w:p w14:paraId="0C943A55" w14:textId="77777777" w:rsidR="00F2254E" w:rsidRPr="005C378A" w:rsidRDefault="00F2254E" w:rsidP="005C378A"/>
    <w:sectPr w:rsidR="00F2254E" w:rsidRPr="005C378A" w:rsidSect="00B50946">
      <w:pgSz w:w="23811" w:h="16838" w:orient="landscape" w:code="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laine Lin" w:date="2025-03-17T17:32:00Z" w:initials="EL">
    <w:p w14:paraId="0851BFDD" w14:textId="77777777" w:rsidR="005C378A" w:rsidRDefault="005C378A" w:rsidP="005C378A">
      <w:pPr>
        <w:pStyle w:val="CommentText"/>
      </w:pPr>
      <w:r>
        <w:rPr>
          <w:rStyle w:val="CommentReference"/>
        </w:rPr>
        <w:annotationRef/>
      </w:r>
      <w:r w:rsidRPr="221A5683">
        <w:t>i kind of like this framework, i don't think we necessarily need to include it in the methods but helpful to have some of it written out</w:t>
      </w:r>
    </w:p>
  </w:comment>
  <w:comment w:id="1" w:author="Elaine Lin" w:date="2025-03-17T17:33:00Z" w:initials="EL">
    <w:p w14:paraId="433A289F" w14:textId="77777777" w:rsidR="005C378A" w:rsidRDefault="005C378A" w:rsidP="005C378A">
      <w:pPr>
        <w:pStyle w:val="CommentText"/>
      </w:pPr>
      <w:r>
        <w:rPr>
          <w:rStyle w:val="CommentReference"/>
        </w:rPr>
        <w:annotationRef/>
      </w:r>
      <w:r w:rsidRPr="55D9C813">
        <w:t>helpful for your knowledge and academic exercise</w:t>
      </w:r>
    </w:p>
  </w:comment>
  <w:comment w:id="2" w:author="Elaine Lin" w:date="2025-03-17T17:34:00Z" w:initials="EL">
    <w:p w14:paraId="29354377" w14:textId="77777777" w:rsidR="005C378A" w:rsidRDefault="005C378A" w:rsidP="005C378A">
      <w:pPr>
        <w:pStyle w:val="CommentText"/>
      </w:pPr>
      <w:r>
        <w:rPr>
          <w:rStyle w:val="CommentReference"/>
        </w:rPr>
        <w:annotationRef/>
      </w:r>
      <w:r w:rsidRPr="7AB091DA">
        <w:t>i like this approach for our discussion in the other doc, overall the flow works well. it shoudl be the first 1-2 paragraphs of our discussion</w:t>
      </w:r>
    </w:p>
  </w:comment>
  <w:comment w:id="3" w:author="Elaine Lin" w:date="2025-04-03T18:23:00Z" w:initials="EL">
    <w:p w14:paraId="7B69EEB0" w14:textId="77777777" w:rsidR="005C378A" w:rsidRDefault="005C378A" w:rsidP="005C378A">
      <w:pPr>
        <w:pStyle w:val="CommentText"/>
      </w:pPr>
      <w:r>
        <w:rPr>
          <w:rStyle w:val="CommentReference"/>
        </w:rPr>
        <w:annotationRef/>
      </w:r>
      <w:r w:rsidRPr="69036FD2">
        <w:t>not sure i know what this means</w:t>
      </w:r>
    </w:p>
  </w:comment>
  <w:comment w:id="5" w:author="Elaine Lin" w:date="2025-03-17T17:39:00Z" w:initials="EL">
    <w:p w14:paraId="29F6DA90" w14:textId="77777777" w:rsidR="005C378A" w:rsidRDefault="005C378A" w:rsidP="005C378A">
      <w:pPr>
        <w:pStyle w:val="CommentText"/>
      </w:pPr>
      <w:r>
        <w:rPr>
          <w:rStyle w:val="CommentReference"/>
        </w:rPr>
        <w:annotationRef/>
      </w:r>
      <w:r w:rsidRPr="56545318">
        <w:t>not sure what this means</w:t>
      </w:r>
    </w:p>
  </w:comment>
  <w:comment w:id="6" w:author="Elaine Lin" w:date="2025-03-17T17:40:00Z" w:initials="EL">
    <w:p w14:paraId="7E2B8D44" w14:textId="77777777" w:rsidR="005C378A" w:rsidRDefault="005C378A" w:rsidP="005C378A">
      <w:pPr>
        <w:pStyle w:val="CommentText"/>
      </w:pPr>
      <w:r>
        <w:rPr>
          <w:rStyle w:val="CommentReference"/>
        </w:rPr>
        <w:annotationRef/>
      </w:r>
      <w:r w:rsidRPr="6D0580EB">
        <w:t>i would probably just say something like made it necessary to be flexible in data collection and use untraditional sources like satellite imagery and news reports to emphasize that there is no one database that has all this info like has been seen (maybe? do some background reading if you can) in prev wars</w:t>
      </w:r>
    </w:p>
  </w:comment>
  <w:comment w:id="8" w:author="Elaine Lin" w:date="2025-03-17T17:36:00Z" w:initials="EL">
    <w:p w14:paraId="67D76A6E" w14:textId="77777777" w:rsidR="005C378A" w:rsidRDefault="005C378A" w:rsidP="005C378A">
      <w:pPr>
        <w:pStyle w:val="CommentText"/>
      </w:pPr>
      <w:r>
        <w:rPr>
          <w:rStyle w:val="CommentReference"/>
        </w:rPr>
        <w:annotationRef/>
      </w:r>
      <w:r w:rsidRPr="4E599059">
        <w:t>however, attack type relationship with injury pattern has not been reported for this specific conflict which we know to be very unique. newer technologies are being used. cite some sources about why this conflict may be unique and we can't necessarily use previous data</w:t>
      </w:r>
    </w:p>
  </w:comment>
  <w:comment w:id="9" w:author="Elaine Lin" w:date="2025-03-17T17:44:00Z" w:initials="EL">
    <w:p w14:paraId="4E1ADA32" w14:textId="77777777" w:rsidR="005C378A" w:rsidRDefault="005C378A" w:rsidP="005C378A">
      <w:pPr>
        <w:pStyle w:val="CommentText"/>
      </w:pPr>
      <w:r>
        <w:rPr>
          <w:rStyle w:val="CommentReference"/>
        </w:rPr>
        <w:annotationRef/>
      </w:r>
      <w:r w:rsidRPr="28268B59">
        <w:t>overall well written and when we have the final results i think this is a good starting template</w:t>
      </w:r>
    </w:p>
  </w:comment>
  <w:comment w:id="10" w:author="Elaine Lin" w:date="2025-03-17T17:44:00Z" w:initials="EL">
    <w:p w14:paraId="7731A101" w14:textId="77777777" w:rsidR="005C378A" w:rsidRDefault="005C378A" w:rsidP="005C378A">
      <w:pPr>
        <w:pStyle w:val="CommentText"/>
      </w:pPr>
      <w:r>
        <w:rPr>
          <w:rStyle w:val="CommentReference"/>
        </w:rPr>
        <w:annotationRef/>
      </w:r>
      <w:r w:rsidRPr="5A481A1E">
        <w:t>our model will include interaction terms as dependent vars</w:t>
      </w:r>
    </w:p>
  </w:comment>
  <w:comment w:id="11" w:author="Elaine Lin" w:date="2025-03-17T17:47:00Z" w:initials="EL">
    <w:p w14:paraId="45FA9255" w14:textId="77777777" w:rsidR="005C378A" w:rsidRDefault="005C378A" w:rsidP="005C378A">
      <w:pPr>
        <w:pStyle w:val="CommentText"/>
      </w:pPr>
      <w:r>
        <w:rPr>
          <w:rStyle w:val="CommentReference"/>
        </w:rPr>
        <w:annotationRef/>
      </w:r>
      <w:r w:rsidRPr="7A47C236">
        <w:t>i think you shoudl just say "our findings highlight the unique nature of this current conflict. compared to other recent conflicts there were many air and shelling attacks, likely due to increased use of targeted missile strikes or air drone attacks ..."</w:t>
      </w:r>
    </w:p>
  </w:comment>
  <w:comment w:id="12" w:author="Elaine Lin" w:date="2025-03-17T17:46:00Z" w:initials="EL">
    <w:p w14:paraId="38CCA12B" w14:textId="77777777" w:rsidR="005C378A" w:rsidRDefault="005C378A" w:rsidP="005C378A">
      <w:pPr>
        <w:pStyle w:val="CommentText"/>
      </w:pPr>
      <w:r>
        <w:rPr>
          <w:rStyle w:val="CommentReference"/>
        </w:rPr>
        <w:annotationRef/>
      </w:r>
      <w:r w:rsidRPr="22F01084">
        <w:t>in which conflict?</w:t>
      </w:r>
    </w:p>
  </w:comment>
  <w:comment w:id="13" w:author="Elaine Lin" w:date="2025-03-17T17:47:00Z" w:initials="EL">
    <w:p w14:paraId="1D4FC3BE" w14:textId="77777777" w:rsidR="005C378A" w:rsidRDefault="005C378A" w:rsidP="005C378A">
      <w:pPr>
        <w:pStyle w:val="CommentText"/>
      </w:pPr>
      <w:r>
        <w:rPr>
          <w:rStyle w:val="CommentReference"/>
        </w:rPr>
        <w:annotationRef/>
      </w:r>
      <w:r w:rsidRPr="45911EC3">
        <w:t>good, well written</w:t>
      </w:r>
    </w:p>
  </w:comment>
  <w:comment w:id="14" w:author="Elaine Lin" w:date="2025-03-17T17:49:00Z" w:initials="EL">
    <w:p w14:paraId="181510B0" w14:textId="77777777" w:rsidR="005C378A" w:rsidRDefault="005C378A" w:rsidP="005C378A">
      <w:pPr>
        <w:pStyle w:val="CommentText"/>
      </w:pPr>
      <w:r>
        <w:rPr>
          <w:rStyle w:val="CommentReference"/>
        </w:rPr>
        <w:annotationRef/>
      </w:r>
      <w:r w:rsidRPr="7F052282">
        <w:t>i know technically you didnt have the task to discuss the reconstructive number but i think after this paragraph or in this section would be a good place to put that and discuss it</w:t>
      </w:r>
    </w:p>
  </w:comment>
  <w:comment w:id="15" w:author="Elaine Lin" w:date="2025-03-17T17:48:00Z" w:initials="EL">
    <w:p w14:paraId="7B2E0068" w14:textId="77777777" w:rsidR="005C378A" w:rsidRDefault="005C378A" w:rsidP="005C378A">
      <w:pPr>
        <w:pStyle w:val="CommentText"/>
      </w:pPr>
      <w:r>
        <w:rPr>
          <w:rStyle w:val="CommentReference"/>
        </w:rPr>
        <w:annotationRef/>
      </w:r>
      <w:r w:rsidRPr="11463C8A">
        <w:t>or whether an injury is reconstructive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51BFDD" w15:done="1"/>
  <w15:commentEx w15:paraId="433A289F" w15:done="1"/>
  <w15:commentEx w15:paraId="29354377" w15:done="1"/>
  <w15:commentEx w15:paraId="7B69EEB0" w15:done="0"/>
  <w15:commentEx w15:paraId="29F6DA90" w15:done="1"/>
  <w15:commentEx w15:paraId="7E2B8D44" w15:paraIdParent="29F6DA90" w15:done="1"/>
  <w15:commentEx w15:paraId="67D76A6E" w15:done="1"/>
  <w15:commentEx w15:paraId="4E1ADA32" w15:done="1"/>
  <w15:commentEx w15:paraId="7731A101" w15:done="0"/>
  <w15:commentEx w15:paraId="45FA9255" w15:done="1"/>
  <w15:commentEx w15:paraId="38CCA12B" w15:done="1"/>
  <w15:commentEx w15:paraId="1D4FC3BE" w15:done="1"/>
  <w15:commentEx w15:paraId="181510B0" w15:done="0"/>
  <w15:commentEx w15:paraId="7B2E00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127B41" w16cex:dateUtc="2025-03-17T21:32:00Z"/>
  <w16cex:commentExtensible w16cex:durableId="594795F0" w16cex:dateUtc="2025-03-17T21:33:00Z"/>
  <w16cex:commentExtensible w16cex:durableId="6C409B29" w16cex:dateUtc="2025-03-17T21:34:00Z"/>
  <w16cex:commentExtensible w16cex:durableId="5822DB38" w16cex:dateUtc="2025-04-03T22:23:00Z"/>
  <w16cex:commentExtensible w16cex:durableId="499C0EBD" w16cex:dateUtc="2025-03-17T21:39:00Z"/>
  <w16cex:commentExtensible w16cex:durableId="4E8DF839" w16cex:dateUtc="2025-03-17T21:40:00Z"/>
  <w16cex:commentExtensible w16cex:durableId="6B787A01" w16cex:dateUtc="2025-03-17T21:36:00Z"/>
  <w16cex:commentExtensible w16cex:durableId="142797E2" w16cex:dateUtc="2025-03-17T21:44:00Z"/>
  <w16cex:commentExtensible w16cex:durableId="794F6DFC" w16cex:dateUtc="2025-03-17T21:44:00Z"/>
  <w16cex:commentExtensible w16cex:durableId="4784144B" w16cex:dateUtc="2025-03-17T21:47:00Z"/>
  <w16cex:commentExtensible w16cex:durableId="2E0C045F" w16cex:dateUtc="2025-03-17T21:46:00Z"/>
  <w16cex:commentExtensible w16cex:durableId="22DD9BFA" w16cex:dateUtc="2025-03-17T21:47:00Z"/>
  <w16cex:commentExtensible w16cex:durableId="2355487E" w16cex:dateUtc="2025-03-17T21:49:00Z"/>
  <w16cex:commentExtensible w16cex:durableId="276057DA" w16cex:dateUtc="2025-03-17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51BFDD" w16cid:durableId="72127B41"/>
  <w16cid:commentId w16cid:paraId="433A289F" w16cid:durableId="594795F0"/>
  <w16cid:commentId w16cid:paraId="29354377" w16cid:durableId="6C409B29"/>
  <w16cid:commentId w16cid:paraId="7B69EEB0" w16cid:durableId="5822DB38"/>
  <w16cid:commentId w16cid:paraId="29F6DA90" w16cid:durableId="499C0EBD"/>
  <w16cid:commentId w16cid:paraId="7E2B8D44" w16cid:durableId="4E8DF839"/>
  <w16cid:commentId w16cid:paraId="67D76A6E" w16cid:durableId="6B787A01"/>
  <w16cid:commentId w16cid:paraId="4E1ADA32" w16cid:durableId="142797E2"/>
  <w16cid:commentId w16cid:paraId="7731A101" w16cid:durableId="794F6DFC"/>
  <w16cid:commentId w16cid:paraId="45FA9255" w16cid:durableId="4784144B"/>
  <w16cid:commentId w16cid:paraId="38CCA12B" w16cid:durableId="2E0C045F"/>
  <w16cid:commentId w16cid:paraId="1D4FC3BE" w16cid:durableId="22DD9BFA"/>
  <w16cid:commentId w16cid:paraId="181510B0" w16cid:durableId="2355487E"/>
  <w16cid:commentId w16cid:paraId="7B2E0068" w16cid:durableId="276057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1222E"/>
    <w:multiLevelType w:val="multilevel"/>
    <w:tmpl w:val="F44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352B5"/>
    <w:multiLevelType w:val="multilevel"/>
    <w:tmpl w:val="6CF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014BA"/>
    <w:multiLevelType w:val="multilevel"/>
    <w:tmpl w:val="BF14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401621">
    <w:abstractNumId w:val="1"/>
  </w:num>
  <w:num w:numId="2" w16cid:durableId="1182160865">
    <w:abstractNumId w:val="0"/>
  </w:num>
  <w:num w:numId="3" w16cid:durableId="20452121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aine Lin">
    <w15:presenceInfo w15:providerId="AD" w15:userId="S::el266@duke.edu::988a2475-c603-4972-bfee-6bb076d3c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85"/>
    <w:rsid w:val="00002C07"/>
    <w:rsid w:val="00015FC7"/>
    <w:rsid w:val="00022C25"/>
    <w:rsid w:val="00035571"/>
    <w:rsid w:val="000434AF"/>
    <w:rsid w:val="00043B42"/>
    <w:rsid w:val="00050FC4"/>
    <w:rsid w:val="00084879"/>
    <w:rsid w:val="000C4DB0"/>
    <w:rsid w:val="000D6C77"/>
    <w:rsid w:val="000E77C1"/>
    <w:rsid w:val="000F1AB0"/>
    <w:rsid w:val="000F1EB1"/>
    <w:rsid w:val="000F2AA6"/>
    <w:rsid w:val="000F30CD"/>
    <w:rsid w:val="00102714"/>
    <w:rsid w:val="00103A7D"/>
    <w:rsid w:val="001225C3"/>
    <w:rsid w:val="00143F0A"/>
    <w:rsid w:val="0014531E"/>
    <w:rsid w:val="00147FAB"/>
    <w:rsid w:val="001522E0"/>
    <w:rsid w:val="0015237D"/>
    <w:rsid w:val="0015680B"/>
    <w:rsid w:val="00161342"/>
    <w:rsid w:val="0016180D"/>
    <w:rsid w:val="00167CFC"/>
    <w:rsid w:val="00170A82"/>
    <w:rsid w:val="00180224"/>
    <w:rsid w:val="00185EA4"/>
    <w:rsid w:val="00193718"/>
    <w:rsid w:val="00196491"/>
    <w:rsid w:val="00197E6F"/>
    <w:rsid w:val="001A3360"/>
    <w:rsid w:val="001A5C06"/>
    <w:rsid w:val="001D2B00"/>
    <w:rsid w:val="001E2416"/>
    <w:rsid w:val="00204C1F"/>
    <w:rsid w:val="002106FF"/>
    <w:rsid w:val="00216AA3"/>
    <w:rsid w:val="002235D6"/>
    <w:rsid w:val="002261C4"/>
    <w:rsid w:val="0023041D"/>
    <w:rsid w:val="00237462"/>
    <w:rsid w:val="002465A5"/>
    <w:rsid w:val="00247872"/>
    <w:rsid w:val="00257032"/>
    <w:rsid w:val="00261E9E"/>
    <w:rsid w:val="00262FED"/>
    <w:rsid w:val="00280C91"/>
    <w:rsid w:val="0028525F"/>
    <w:rsid w:val="002906F1"/>
    <w:rsid w:val="002A6363"/>
    <w:rsid w:val="002A6887"/>
    <w:rsid w:val="002F40B8"/>
    <w:rsid w:val="002F51F6"/>
    <w:rsid w:val="003233B1"/>
    <w:rsid w:val="00336EC3"/>
    <w:rsid w:val="003646B7"/>
    <w:rsid w:val="00371C1D"/>
    <w:rsid w:val="0037414D"/>
    <w:rsid w:val="00391C36"/>
    <w:rsid w:val="003979F0"/>
    <w:rsid w:val="003B6605"/>
    <w:rsid w:val="003C3469"/>
    <w:rsid w:val="003D1177"/>
    <w:rsid w:val="003D6821"/>
    <w:rsid w:val="003D704A"/>
    <w:rsid w:val="003D7D26"/>
    <w:rsid w:val="003E3177"/>
    <w:rsid w:val="003F3497"/>
    <w:rsid w:val="00400BE0"/>
    <w:rsid w:val="00415BD5"/>
    <w:rsid w:val="00416972"/>
    <w:rsid w:val="00416A01"/>
    <w:rsid w:val="00421737"/>
    <w:rsid w:val="00422302"/>
    <w:rsid w:val="00424FD9"/>
    <w:rsid w:val="004259C2"/>
    <w:rsid w:val="0043145F"/>
    <w:rsid w:val="004338FE"/>
    <w:rsid w:val="00433A15"/>
    <w:rsid w:val="00434770"/>
    <w:rsid w:val="004464D2"/>
    <w:rsid w:val="00452378"/>
    <w:rsid w:val="004560A9"/>
    <w:rsid w:val="004620E3"/>
    <w:rsid w:val="00471C09"/>
    <w:rsid w:val="00484505"/>
    <w:rsid w:val="00485438"/>
    <w:rsid w:val="00497782"/>
    <w:rsid w:val="004A4BB7"/>
    <w:rsid w:val="004B52A7"/>
    <w:rsid w:val="004C3E69"/>
    <w:rsid w:val="004C7D3F"/>
    <w:rsid w:val="004D24E7"/>
    <w:rsid w:val="004D76FD"/>
    <w:rsid w:val="004E2E80"/>
    <w:rsid w:val="004E3A70"/>
    <w:rsid w:val="004E6226"/>
    <w:rsid w:val="00512E76"/>
    <w:rsid w:val="00515BE0"/>
    <w:rsid w:val="005169FA"/>
    <w:rsid w:val="005206A6"/>
    <w:rsid w:val="00535F8E"/>
    <w:rsid w:val="00536445"/>
    <w:rsid w:val="005723B4"/>
    <w:rsid w:val="005743E1"/>
    <w:rsid w:val="00580FBB"/>
    <w:rsid w:val="005873E7"/>
    <w:rsid w:val="0058782C"/>
    <w:rsid w:val="0059642F"/>
    <w:rsid w:val="005A47CA"/>
    <w:rsid w:val="005A4DAA"/>
    <w:rsid w:val="005B3BD1"/>
    <w:rsid w:val="005B3EC9"/>
    <w:rsid w:val="005B561C"/>
    <w:rsid w:val="005C0BD0"/>
    <w:rsid w:val="005C378A"/>
    <w:rsid w:val="005D115F"/>
    <w:rsid w:val="005D55B2"/>
    <w:rsid w:val="005D637B"/>
    <w:rsid w:val="005D74BB"/>
    <w:rsid w:val="005F34F2"/>
    <w:rsid w:val="005F4DE3"/>
    <w:rsid w:val="006116A0"/>
    <w:rsid w:val="00611E79"/>
    <w:rsid w:val="00615496"/>
    <w:rsid w:val="006223EA"/>
    <w:rsid w:val="0063075C"/>
    <w:rsid w:val="006365A2"/>
    <w:rsid w:val="0064296F"/>
    <w:rsid w:val="006576D5"/>
    <w:rsid w:val="0067614C"/>
    <w:rsid w:val="0068078F"/>
    <w:rsid w:val="0069609C"/>
    <w:rsid w:val="006B0DCF"/>
    <w:rsid w:val="006B5A1E"/>
    <w:rsid w:val="006C7D9A"/>
    <w:rsid w:val="006D373D"/>
    <w:rsid w:val="006D43E6"/>
    <w:rsid w:val="00726858"/>
    <w:rsid w:val="0072768F"/>
    <w:rsid w:val="00734BA3"/>
    <w:rsid w:val="00740EC3"/>
    <w:rsid w:val="00741D7D"/>
    <w:rsid w:val="0074771D"/>
    <w:rsid w:val="00757338"/>
    <w:rsid w:val="00770254"/>
    <w:rsid w:val="007703C5"/>
    <w:rsid w:val="00773694"/>
    <w:rsid w:val="00777CC2"/>
    <w:rsid w:val="00781198"/>
    <w:rsid w:val="00786B0F"/>
    <w:rsid w:val="007870C4"/>
    <w:rsid w:val="0079133E"/>
    <w:rsid w:val="007A07AA"/>
    <w:rsid w:val="007A238A"/>
    <w:rsid w:val="007B1F0A"/>
    <w:rsid w:val="007B4150"/>
    <w:rsid w:val="007C11A0"/>
    <w:rsid w:val="007C3724"/>
    <w:rsid w:val="007C3860"/>
    <w:rsid w:val="007C7531"/>
    <w:rsid w:val="007E1043"/>
    <w:rsid w:val="007F38C2"/>
    <w:rsid w:val="007F4635"/>
    <w:rsid w:val="00814D45"/>
    <w:rsid w:val="0083736F"/>
    <w:rsid w:val="00847695"/>
    <w:rsid w:val="008601BA"/>
    <w:rsid w:val="00861C04"/>
    <w:rsid w:val="00861F8E"/>
    <w:rsid w:val="008630AF"/>
    <w:rsid w:val="008665FF"/>
    <w:rsid w:val="00872931"/>
    <w:rsid w:val="00874B00"/>
    <w:rsid w:val="008808F9"/>
    <w:rsid w:val="0089510B"/>
    <w:rsid w:val="008B118F"/>
    <w:rsid w:val="008B13EB"/>
    <w:rsid w:val="008B563F"/>
    <w:rsid w:val="008C20D9"/>
    <w:rsid w:val="008C3E24"/>
    <w:rsid w:val="008D1094"/>
    <w:rsid w:val="008D3C2D"/>
    <w:rsid w:val="008E5B0C"/>
    <w:rsid w:val="008F53B2"/>
    <w:rsid w:val="00905A95"/>
    <w:rsid w:val="00927AB0"/>
    <w:rsid w:val="00935D3C"/>
    <w:rsid w:val="00945AE9"/>
    <w:rsid w:val="00954760"/>
    <w:rsid w:val="009703FD"/>
    <w:rsid w:val="0097717A"/>
    <w:rsid w:val="00983E49"/>
    <w:rsid w:val="0098585C"/>
    <w:rsid w:val="00986A45"/>
    <w:rsid w:val="00991CAF"/>
    <w:rsid w:val="009948BD"/>
    <w:rsid w:val="00996017"/>
    <w:rsid w:val="009A335F"/>
    <w:rsid w:val="009B0F9D"/>
    <w:rsid w:val="009C66EE"/>
    <w:rsid w:val="009E355A"/>
    <w:rsid w:val="009F6835"/>
    <w:rsid w:val="00A02DDE"/>
    <w:rsid w:val="00A073FD"/>
    <w:rsid w:val="00A23113"/>
    <w:rsid w:val="00A420BC"/>
    <w:rsid w:val="00A715C2"/>
    <w:rsid w:val="00A7193F"/>
    <w:rsid w:val="00A804BC"/>
    <w:rsid w:val="00A87E92"/>
    <w:rsid w:val="00AA0CD7"/>
    <w:rsid w:val="00AA0D4D"/>
    <w:rsid w:val="00AC2922"/>
    <w:rsid w:val="00AC679A"/>
    <w:rsid w:val="00AD0E4C"/>
    <w:rsid w:val="00AE38EF"/>
    <w:rsid w:val="00B16E68"/>
    <w:rsid w:val="00B26190"/>
    <w:rsid w:val="00B26F90"/>
    <w:rsid w:val="00B36170"/>
    <w:rsid w:val="00B4169A"/>
    <w:rsid w:val="00B4266B"/>
    <w:rsid w:val="00B4755C"/>
    <w:rsid w:val="00B50946"/>
    <w:rsid w:val="00B50D5A"/>
    <w:rsid w:val="00B55478"/>
    <w:rsid w:val="00B63D00"/>
    <w:rsid w:val="00B73C4C"/>
    <w:rsid w:val="00B8254C"/>
    <w:rsid w:val="00B94F66"/>
    <w:rsid w:val="00B97113"/>
    <w:rsid w:val="00BA3026"/>
    <w:rsid w:val="00BB2A28"/>
    <w:rsid w:val="00BB570C"/>
    <w:rsid w:val="00BD47E3"/>
    <w:rsid w:val="00BE6277"/>
    <w:rsid w:val="00BF1718"/>
    <w:rsid w:val="00C13894"/>
    <w:rsid w:val="00C16CC9"/>
    <w:rsid w:val="00C2311E"/>
    <w:rsid w:val="00C31F65"/>
    <w:rsid w:val="00C36506"/>
    <w:rsid w:val="00C36CD4"/>
    <w:rsid w:val="00C40E02"/>
    <w:rsid w:val="00C438A9"/>
    <w:rsid w:val="00C46D96"/>
    <w:rsid w:val="00C53800"/>
    <w:rsid w:val="00C55770"/>
    <w:rsid w:val="00C60500"/>
    <w:rsid w:val="00C62675"/>
    <w:rsid w:val="00C66E25"/>
    <w:rsid w:val="00C72AA6"/>
    <w:rsid w:val="00C73669"/>
    <w:rsid w:val="00C77F9B"/>
    <w:rsid w:val="00CB0DCA"/>
    <w:rsid w:val="00CB1668"/>
    <w:rsid w:val="00CB19CB"/>
    <w:rsid w:val="00CC66B0"/>
    <w:rsid w:val="00CD73FD"/>
    <w:rsid w:val="00CF0123"/>
    <w:rsid w:val="00CF0AE6"/>
    <w:rsid w:val="00CF1C8C"/>
    <w:rsid w:val="00D007B6"/>
    <w:rsid w:val="00D054B3"/>
    <w:rsid w:val="00D12C8E"/>
    <w:rsid w:val="00D14B9D"/>
    <w:rsid w:val="00D23452"/>
    <w:rsid w:val="00D237EA"/>
    <w:rsid w:val="00D301C0"/>
    <w:rsid w:val="00D33C95"/>
    <w:rsid w:val="00D679F5"/>
    <w:rsid w:val="00D71F64"/>
    <w:rsid w:val="00D7249A"/>
    <w:rsid w:val="00D741D3"/>
    <w:rsid w:val="00D81CB6"/>
    <w:rsid w:val="00D84175"/>
    <w:rsid w:val="00DA1085"/>
    <w:rsid w:val="00DB6E80"/>
    <w:rsid w:val="00DB7783"/>
    <w:rsid w:val="00DD0EB4"/>
    <w:rsid w:val="00DD5F26"/>
    <w:rsid w:val="00DF1226"/>
    <w:rsid w:val="00DF3485"/>
    <w:rsid w:val="00DF57E9"/>
    <w:rsid w:val="00E03BDC"/>
    <w:rsid w:val="00E15876"/>
    <w:rsid w:val="00E3069D"/>
    <w:rsid w:val="00E323CC"/>
    <w:rsid w:val="00E47324"/>
    <w:rsid w:val="00E523F6"/>
    <w:rsid w:val="00E631BF"/>
    <w:rsid w:val="00E94E5D"/>
    <w:rsid w:val="00E96413"/>
    <w:rsid w:val="00E96C66"/>
    <w:rsid w:val="00E97DE9"/>
    <w:rsid w:val="00EA4B6F"/>
    <w:rsid w:val="00EA541C"/>
    <w:rsid w:val="00EA7BF1"/>
    <w:rsid w:val="00EC66C4"/>
    <w:rsid w:val="00EE48B9"/>
    <w:rsid w:val="00F0552F"/>
    <w:rsid w:val="00F0705B"/>
    <w:rsid w:val="00F215C9"/>
    <w:rsid w:val="00F2254E"/>
    <w:rsid w:val="00F26803"/>
    <w:rsid w:val="00F3213C"/>
    <w:rsid w:val="00F44D85"/>
    <w:rsid w:val="00F470AB"/>
    <w:rsid w:val="00F515F8"/>
    <w:rsid w:val="00F6146B"/>
    <w:rsid w:val="00F648C1"/>
    <w:rsid w:val="00FA41D3"/>
    <w:rsid w:val="00FB7212"/>
    <w:rsid w:val="00FC6D3A"/>
    <w:rsid w:val="00FC71B9"/>
    <w:rsid w:val="00FD4FC8"/>
    <w:rsid w:val="00FF350B"/>
    <w:rsid w:val="209BF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D501"/>
  <w15:chartTrackingRefBased/>
  <w15:docId w15:val="{0BAC52FE-BE36-4393-AB2E-D9A4DEA7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78A"/>
  </w:style>
  <w:style w:type="paragraph" w:styleId="Heading1">
    <w:name w:val="heading 1"/>
    <w:basedOn w:val="Normal"/>
    <w:next w:val="Normal"/>
    <w:link w:val="Heading1Char"/>
    <w:uiPriority w:val="9"/>
    <w:qFormat/>
    <w:rsid w:val="00F44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D85"/>
    <w:rPr>
      <w:rFonts w:eastAsiaTheme="majorEastAsia" w:cstheme="majorBidi"/>
      <w:color w:val="272727" w:themeColor="text1" w:themeTint="D8"/>
    </w:rPr>
  </w:style>
  <w:style w:type="paragraph" w:styleId="Title">
    <w:name w:val="Title"/>
    <w:basedOn w:val="Normal"/>
    <w:next w:val="Normal"/>
    <w:link w:val="TitleChar"/>
    <w:uiPriority w:val="10"/>
    <w:qFormat/>
    <w:rsid w:val="00F4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D85"/>
    <w:pPr>
      <w:spacing w:before="160"/>
      <w:jc w:val="center"/>
    </w:pPr>
    <w:rPr>
      <w:i/>
      <w:iCs/>
      <w:color w:val="404040" w:themeColor="text1" w:themeTint="BF"/>
    </w:rPr>
  </w:style>
  <w:style w:type="character" w:customStyle="1" w:styleId="QuoteChar">
    <w:name w:val="Quote Char"/>
    <w:basedOn w:val="DefaultParagraphFont"/>
    <w:link w:val="Quote"/>
    <w:uiPriority w:val="29"/>
    <w:rsid w:val="00F44D85"/>
    <w:rPr>
      <w:i/>
      <w:iCs/>
      <w:color w:val="404040" w:themeColor="text1" w:themeTint="BF"/>
    </w:rPr>
  </w:style>
  <w:style w:type="paragraph" w:styleId="ListParagraph">
    <w:name w:val="List Paragraph"/>
    <w:basedOn w:val="Normal"/>
    <w:uiPriority w:val="34"/>
    <w:qFormat/>
    <w:rsid w:val="00F44D85"/>
    <w:pPr>
      <w:ind w:left="720"/>
      <w:contextualSpacing/>
    </w:pPr>
  </w:style>
  <w:style w:type="character" w:styleId="IntenseEmphasis">
    <w:name w:val="Intense Emphasis"/>
    <w:basedOn w:val="DefaultParagraphFont"/>
    <w:uiPriority w:val="21"/>
    <w:qFormat/>
    <w:rsid w:val="00F44D85"/>
    <w:rPr>
      <w:i/>
      <w:iCs/>
      <w:color w:val="0F4761" w:themeColor="accent1" w:themeShade="BF"/>
    </w:rPr>
  </w:style>
  <w:style w:type="paragraph" w:styleId="IntenseQuote">
    <w:name w:val="Intense Quote"/>
    <w:basedOn w:val="Normal"/>
    <w:next w:val="Normal"/>
    <w:link w:val="IntenseQuoteChar"/>
    <w:uiPriority w:val="30"/>
    <w:qFormat/>
    <w:rsid w:val="00F44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D85"/>
    <w:rPr>
      <w:i/>
      <w:iCs/>
      <w:color w:val="0F4761" w:themeColor="accent1" w:themeShade="BF"/>
    </w:rPr>
  </w:style>
  <w:style w:type="character" w:styleId="IntenseReference">
    <w:name w:val="Intense Reference"/>
    <w:basedOn w:val="DefaultParagraphFont"/>
    <w:uiPriority w:val="32"/>
    <w:qFormat/>
    <w:rsid w:val="00F44D85"/>
    <w:rPr>
      <w:b/>
      <w:bCs/>
      <w:smallCaps/>
      <w:color w:val="0F4761" w:themeColor="accent1" w:themeShade="BF"/>
      <w:spacing w:val="5"/>
    </w:rPr>
  </w:style>
  <w:style w:type="table" w:styleId="TableGrid">
    <w:name w:val="Table Grid"/>
    <w:basedOn w:val="TableNormal"/>
    <w:uiPriority w:val="39"/>
    <w:rsid w:val="00FA4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C20D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D73FD"/>
    <w:rPr>
      <w:b/>
      <w:bCs/>
    </w:rPr>
  </w:style>
  <w:style w:type="character" w:customStyle="1" w:styleId="CommentSubjectChar">
    <w:name w:val="Comment Subject Char"/>
    <w:basedOn w:val="CommentTextChar"/>
    <w:link w:val="CommentSubject"/>
    <w:uiPriority w:val="99"/>
    <w:semiHidden/>
    <w:rsid w:val="00CD73FD"/>
    <w:rPr>
      <w:b/>
      <w:bCs/>
      <w:sz w:val="20"/>
      <w:szCs w:val="20"/>
    </w:rPr>
  </w:style>
  <w:style w:type="character" w:styleId="Hyperlink">
    <w:name w:val="Hyperlink"/>
    <w:basedOn w:val="DefaultParagraphFont"/>
    <w:uiPriority w:val="99"/>
    <w:unhideWhenUsed/>
    <w:rsid w:val="005C37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9320">
      <w:bodyDiv w:val="1"/>
      <w:marLeft w:val="0"/>
      <w:marRight w:val="0"/>
      <w:marTop w:val="0"/>
      <w:marBottom w:val="0"/>
      <w:divBdr>
        <w:top w:val="none" w:sz="0" w:space="0" w:color="auto"/>
        <w:left w:val="none" w:sz="0" w:space="0" w:color="auto"/>
        <w:bottom w:val="none" w:sz="0" w:space="0" w:color="auto"/>
        <w:right w:val="none" w:sz="0" w:space="0" w:color="auto"/>
      </w:divBdr>
    </w:div>
    <w:div w:id="95251445">
      <w:bodyDiv w:val="1"/>
      <w:marLeft w:val="0"/>
      <w:marRight w:val="0"/>
      <w:marTop w:val="0"/>
      <w:marBottom w:val="0"/>
      <w:divBdr>
        <w:top w:val="none" w:sz="0" w:space="0" w:color="auto"/>
        <w:left w:val="none" w:sz="0" w:space="0" w:color="auto"/>
        <w:bottom w:val="none" w:sz="0" w:space="0" w:color="auto"/>
        <w:right w:val="none" w:sz="0" w:space="0" w:color="auto"/>
      </w:divBdr>
    </w:div>
    <w:div w:id="112990721">
      <w:bodyDiv w:val="1"/>
      <w:marLeft w:val="0"/>
      <w:marRight w:val="0"/>
      <w:marTop w:val="0"/>
      <w:marBottom w:val="0"/>
      <w:divBdr>
        <w:top w:val="none" w:sz="0" w:space="0" w:color="auto"/>
        <w:left w:val="none" w:sz="0" w:space="0" w:color="auto"/>
        <w:bottom w:val="none" w:sz="0" w:space="0" w:color="auto"/>
        <w:right w:val="none" w:sz="0" w:space="0" w:color="auto"/>
      </w:divBdr>
    </w:div>
    <w:div w:id="129130673">
      <w:bodyDiv w:val="1"/>
      <w:marLeft w:val="0"/>
      <w:marRight w:val="0"/>
      <w:marTop w:val="0"/>
      <w:marBottom w:val="0"/>
      <w:divBdr>
        <w:top w:val="none" w:sz="0" w:space="0" w:color="auto"/>
        <w:left w:val="none" w:sz="0" w:space="0" w:color="auto"/>
        <w:bottom w:val="none" w:sz="0" w:space="0" w:color="auto"/>
        <w:right w:val="none" w:sz="0" w:space="0" w:color="auto"/>
      </w:divBdr>
    </w:div>
    <w:div w:id="221596223">
      <w:bodyDiv w:val="1"/>
      <w:marLeft w:val="0"/>
      <w:marRight w:val="0"/>
      <w:marTop w:val="0"/>
      <w:marBottom w:val="0"/>
      <w:divBdr>
        <w:top w:val="none" w:sz="0" w:space="0" w:color="auto"/>
        <w:left w:val="none" w:sz="0" w:space="0" w:color="auto"/>
        <w:bottom w:val="none" w:sz="0" w:space="0" w:color="auto"/>
        <w:right w:val="none" w:sz="0" w:space="0" w:color="auto"/>
      </w:divBdr>
    </w:div>
    <w:div w:id="232088213">
      <w:bodyDiv w:val="1"/>
      <w:marLeft w:val="0"/>
      <w:marRight w:val="0"/>
      <w:marTop w:val="0"/>
      <w:marBottom w:val="0"/>
      <w:divBdr>
        <w:top w:val="none" w:sz="0" w:space="0" w:color="auto"/>
        <w:left w:val="none" w:sz="0" w:space="0" w:color="auto"/>
        <w:bottom w:val="none" w:sz="0" w:space="0" w:color="auto"/>
        <w:right w:val="none" w:sz="0" w:space="0" w:color="auto"/>
      </w:divBdr>
    </w:div>
    <w:div w:id="319429313">
      <w:bodyDiv w:val="1"/>
      <w:marLeft w:val="0"/>
      <w:marRight w:val="0"/>
      <w:marTop w:val="0"/>
      <w:marBottom w:val="0"/>
      <w:divBdr>
        <w:top w:val="none" w:sz="0" w:space="0" w:color="auto"/>
        <w:left w:val="none" w:sz="0" w:space="0" w:color="auto"/>
        <w:bottom w:val="none" w:sz="0" w:space="0" w:color="auto"/>
        <w:right w:val="none" w:sz="0" w:space="0" w:color="auto"/>
      </w:divBdr>
    </w:div>
    <w:div w:id="320545936">
      <w:bodyDiv w:val="1"/>
      <w:marLeft w:val="0"/>
      <w:marRight w:val="0"/>
      <w:marTop w:val="0"/>
      <w:marBottom w:val="0"/>
      <w:divBdr>
        <w:top w:val="none" w:sz="0" w:space="0" w:color="auto"/>
        <w:left w:val="none" w:sz="0" w:space="0" w:color="auto"/>
        <w:bottom w:val="none" w:sz="0" w:space="0" w:color="auto"/>
        <w:right w:val="none" w:sz="0" w:space="0" w:color="auto"/>
      </w:divBdr>
    </w:div>
    <w:div w:id="396244547">
      <w:bodyDiv w:val="1"/>
      <w:marLeft w:val="0"/>
      <w:marRight w:val="0"/>
      <w:marTop w:val="0"/>
      <w:marBottom w:val="0"/>
      <w:divBdr>
        <w:top w:val="none" w:sz="0" w:space="0" w:color="auto"/>
        <w:left w:val="none" w:sz="0" w:space="0" w:color="auto"/>
        <w:bottom w:val="none" w:sz="0" w:space="0" w:color="auto"/>
        <w:right w:val="none" w:sz="0" w:space="0" w:color="auto"/>
      </w:divBdr>
    </w:div>
    <w:div w:id="535771570">
      <w:bodyDiv w:val="1"/>
      <w:marLeft w:val="0"/>
      <w:marRight w:val="0"/>
      <w:marTop w:val="0"/>
      <w:marBottom w:val="0"/>
      <w:divBdr>
        <w:top w:val="none" w:sz="0" w:space="0" w:color="auto"/>
        <w:left w:val="none" w:sz="0" w:space="0" w:color="auto"/>
        <w:bottom w:val="none" w:sz="0" w:space="0" w:color="auto"/>
        <w:right w:val="none" w:sz="0" w:space="0" w:color="auto"/>
      </w:divBdr>
    </w:div>
    <w:div w:id="570893528">
      <w:bodyDiv w:val="1"/>
      <w:marLeft w:val="0"/>
      <w:marRight w:val="0"/>
      <w:marTop w:val="0"/>
      <w:marBottom w:val="0"/>
      <w:divBdr>
        <w:top w:val="none" w:sz="0" w:space="0" w:color="auto"/>
        <w:left w:val="none" w:sz="0" w:space="0" w:color="auto"/>
        <w:bottom w:val="none" w:sz="0" w:space="0" w:color="auto"/>
        <w:right w:val="none" w:sz="0" w:space="0" w:color="auto"/>
      </w:divBdr>
    </w:div>
    <w:div w:id="645163641">
      <w:bodyDiv w:val="1"/>
      <w:marLeft w:val="0"/>
      <w:marRight w:val="0"/>
      <w:marTop w:val="0"/>
      <w:marBottom w:val="0"/>
      <w:divBdr>
        <w:top w:val="none" w:sz="0" w:space="0" w:color="auto"/>
        <w:left w:val="none" w:sz="0" w:space="0" w:color="auto"/>
        <w:bottom w:val="none" w:sz="0" w:space="0" w:color="auto"/>
        <w:right w:val="none" w:sz="0" w:space="0" w:color="auto"/>
      </w:divBdr>
    </w:div>
    <w:div w:id="827936969">
      <w:bodyDiv w:val="1"/>
      <w:marLeft w:val="0"/>
      <w:marRight w:val="0"/>
      <w:marTop w:val="0"/>
      <w:marBottom w:val="0"/>
      <w:divBdr>
        <w:top w:val="none" w:sz="0" w:space="0" w:color="auto"/>
        <w:left w:val="none" w:sz="0" w:space="0" w:color="auto"/>
        <w:bottom w:val="none" w:sz="0" w:space="0" w:color="auto"/>
        <w:right w:val="none" w:sz="0" w:space="0" w:color="auto"/>
      </w:divBdr>
    </w:div>
    <w:div w:id="850682219">
      <w:bodyDiv w:val="1"/>
      <w:marLeft w:val="0"/>
      <w:marRight w:val="0"/>
      <w:marTop w:val="0"/>
      <w:marBottom w:val="0"/>
      <w:divBdr>
        <w:top w:val="none" w:sz="0" w:space="0" w:color="auto"/>
        <w:left w:val="none" w:sz="0" w:space="0" w:color="auto"/>
        <w:bottom w:val="none" w:sz="0" w:space="0" w:color="auto"/>
        <w:right w:val="none" w:sz="0" w:space="0" w:color="auto"/>
      </w:divBdr>
    </w:div>
    <w:div w:id="938172953">
      <w:bodyDiv w:val="1"/>
      <w:marLeft w:val="0"/>
      <w:marRight w:val="0"/>
      <w:marTop w:val="0"/>
      <w:marBottom w:val="0"/>
      <w:divBdr>
        <w:top w:val="none" w:sz="0" w:space="0" w:color="auto"/>
        <w:left w:val="none" w:sz="0" w:space="0" w:color="auto"/>
        <w:bottom w:val="none" w:sz="0" w:space="0" w:color="auto"/>
        <w:right w:val="none" w:sz="0" w:space="0" w:color="auto"/>
      </w:divBdr>
    </w:div>
    <w:div w:id="1048148663">
      <w:bodyDiv w:val="1"/>
      <w:marLeft w:val="0"/>
      <w:marRight w:val="0"/>
      <w:marTop w:val="0"/>
      <w:marBottom w:val="0"/>
      <w:divBdr>
        <w:top w:val="none" w:sz="0" w:space="0" w:color="auto"/>
        <w:left w:val="none" w:sz="0" w:space="0" w:color="auto"/>
        <w:bottom w:val="none" w:sz="0" w:space="0" w:color="auto"/>
        <w:right w:val="none" w:sz="0" w:space="0" w:color="auto"/>
      </w:divBdr>
    </w:div>
    <w:div w:id="1061169251">
      <w:bodyDiv w:val="1"/>
      <w:marLeft w:val="0"/>
      <w:marRight w:val="0"/>
      <w:marTop w:val="0"/>
      <w:marBottom w:val="0"/>
      <w:divBdr>
        <w:top w:val="none" w:sz="0" w:space="0" w:color="auto"/>
        <w:left w:val="none" w:sz="0" w:space="0" w:color="auto"/>
        <w:bottom w:val="none" w:sz="0" w:space="0" w:color="auto"/>
        <w:right w:val="none" w:sz="0" w:space="0" w:color="auto"/>
      </w:divBdr>
    </w:div>
    <w:div w:id="1110583269">
      <w:bodyDiv w:val="1"/>
      <w:marLeft w:val="0"/>
      <w:marRight w:val="0"/>
      <w:marTop w:val="0"/>
      <w:marBottom w:val="0"/>
      <w:divBdr>
        <w:top w:val="none" w:sz="0" w:space="0" w:color="auto"/>
        <w:left w:val="none" w:sz="0" w:space="0" w:color="auto"/>
        <w:bottom w:val="none" w:sz="0" w:space="0" w:color="auto"/>
        <w:right w:val="none" w:sz="0" w:space="0" w:color="auto"/>
      </w:divBdr>
    </w:div>
    <w:div w:id="1123841038">
      <w:bodyDiv w:val="1"/>
      <w:marLeft w:val="0"/>
      <w:marRight w:val="0"/>
      <w:marTop w:val="0"/>
      <w:marBottom w:val="0"/>
      <w:divBdr>
        <w:top w:val="none" w:sz="0" w:space="0" w:color="auto"/>
        <w:left w:val="none" w:sz="0" w:space="0" w:color="auto"/>
        <w:bottom w:val="none" w:sz="0" w:space="0" w:color="auto"/>
        <w:right w:val="none" w:sz="0" w:space="0" w:color="auto"/>
      </w:divBdr>
    </w:div>
    <w:div w:id="1182085253">
      <w:bodyDiv w:val="1"/>
      <w:marLeft w:val="0"/>
      <w:marRight w:val="0"/>
      <w:marTop w:val="0"/>
      <w:marBottom w:val="0"/>
      <w:divBdr>
        <w:top w:val="none" w:sz="0" w:space="0" w:color="auto"/>
        <w:left w:val="none" w:sz="0" w:space="0" w:color="auto"/>
        <w:bottom w:val="none" w:sz="0" w:space="0" w:color="auto"/>
        <w:right w:val="none" w:sz="0" w:space="0" w:color="auto"/>
      </w:divBdr>
    </w:div>
    <w:div w:id="1331983156">
      <w:bodyDiv w:val="1"/>
      <w:marLeft w:val="0"/>
      <w:marRight w:val="0"/>
      <w:marTop w:val="0"/>
      <w:marBottom w:val="0"/>
      <w:divBdr>
        <w:top w:val="none" w:sz="0" w:space="0" w:color="auto"/>
        <w:left w:val="none" w:sz="0" w:space="0" w:color="auto"/>
        <w:bottom w:val="none" w:sz="0" w:space="0" w:color="auto"/>
        <w:right w:val="none" w:sz="0" w:space="0" w:color="auto"/>
      </w:divBdr>
    </w:div>
    <w:div w:id="1360162662">
      <w:bodyDiv w:val="1"/>
      <w:marLeft w:val="0"/>
      <w:marRight w:val="0"/>
      <w:marTop w:val="0"/>
      <w:marBottom w:val="0"/>
      <w:divBdr>
        <w:top w:val="none" w:sz="0" w:space="0" w:color="auto"/>
        <w:left w:val="none" w:sz="0" w:space="0" w:color="auto"/>
        <w:bottom w:val="none" w:sz="0" w:space="0" w:color="auto"/>
        <w:right w:val="none" w:sz="0" w:space="0" w:color="auto"/>
      </w:divBdr>
    </w:div>
    <w:div w:id="1454641571">
      <w:bodyDiv w:val="1"/>
      <w:marLeft w:val="0"/>
      <w:marRight w:val="0"/>
      <w:marTop w:val="0"/>
      <w:marBottom w:val="0"/>
      <w:divBdr>
        <w:top w:val="none" w:sz="0" w:space="0" w:color="auto"/>
        <w:left w:val="none" w:sz="0" w:space="0" w:color="auto"/>
        <w:bottom w:val="none" w:sz="0" w:space="0" w:color="auto"/>
        <w:right w:val="none" w:sz="0" w:space="0" w:color="auto"/>
      </w:divBdr>
    </w:div>
    <w:div w:id="1454712234">
      <w:bodyDiv w:val="1"/>
      <w:marLeft w:val="0"/>
      <w:marRight w:val="0"/>
      <w:marTop w:val="0"/>
      <w:marBottom w:val="0"/>
      <w:divBdr>
        <w:top w:val="none" w:sz="0" w:space="0" w:color="auto"/>
        <w:left w:val="none" w:sz="0" w:space="0" w:color="auto"/>
        <w:bottom w:val="none" w:sz="0" w:space="0" w:color="auto"/>
        <w:right w:val="none" w:sz="0" w:space="0" w:color="auto"/>
      </w:divBdr>
    </w:div>
    <w:div w:id="1497109256">
      <w:bodyDiv w:val="1"/>
      <w:marLeft w:val="0"/>
      <w:marRight w:val="0"/>
      <w:marTop w:val="0"/>
      <w:marBottom w:val="0"/>
      <w:divBdr>
        <w:top w:val="none" w:sz="0" w:space="0" w:color="auto"/>
        <w:left w:val="none" w:sz="0" w:space="0" w:color="auto"/>
        <w:bottom w:val="none" w:sz="0" w:space="0" w:color="auto"/>
        <w:right w:val="none" w:sz="0" w:space="0" w:color="auto"/>
      </w:divBdr>
    </w:div>
    <w:div w:id="1642231069">
      <w:bodyDiv w:val="1"/>
      <w:marLeft w:val="0"/>
      <w:marRight w:val="0"/>
      <w:marTop w:val="0"/>
      <w:marBottom w:val="0"/>
      <w:divBdr>
        <w:top w:val="none" w:sz="0" w:space="0" w:color="auto"/>
        <w:left w:val="none" w:sz="0" w:space="0" w:color="auto"/>
        <w:bottom w:val="none" w:sz="0" w:space="0" w:color="auto"/>
        <w:right w:val="none" w:sz="0" w:space="0" w:color="auto"/>
      </w:divBdr>
    </w:div>
    <w:div w:id="1704209443">
      <w:bodyDiv w:val="1"/>
      <w:marLeft w:val="0"/>
      <w:marRight w:val="0"/>
      <w:marTop w:val="0"/>
      <w:marBottom w:val="0"/>
      <w:divBdr>
        <w:top w:val="none" w:sz="0" w:space="0" w:color="auto"/>
        <w:left w:val="none" w:sz="0" w:space="0" w:color="auto"/>
        <w:bottom w:val="none" w:sz="0" w:space="0" w:color="auto"/>
        <w:right w:val="none" w:sz="0" w:space="0" w:color="auto"/>
      </w:divBdr>
    </w:div>
    <w:div w:id="1807158483">
      <w:bodyDiv w:val="1"/>
      <w:marLeft w:val="0"/>
      <w:marRight w:val="0"/>
      <w:marTop w:val="0"/>
      <w:marBottom w:val="0"/>
      <w:divBdr>
        <w:top w:val="none" w:sz="0" w:space="0" w:color="auto"/>
        <w:left w:val="none" w:sz="0" w:space="0" w:color="auto"/>
        <w:bottom w:val="none" w:sz="0" w:space="0" w:color="auto"/>
        <w:right w:val="none" w:sz="0" w:space="0" w:color="auto"/>
      </w:divBdr>
    </w:div>
    <w:div w:id="1933513203">
      <w:bodyDiv w:val="1"/>
      <w:marLeft w:val="0"/>
      <w:marRight w:val="0"/>
      <w:marTop w:val="0"/>
      <w:marBottom w:val="0"/>
      <w:divBdr>
        <w:top w:val="none" w:sz="0" w:space="0" w:color="auto"/>
        <w:left w:val="none" w:sz="0" w:space="0" w:color="auto"/>
        <w:bottom w:val="none" w:sz="0" w:space="0" w:color="auto"/>
        <w:right w:val="none" w:sz="0" w:space="0" w:color="auto"/>
      </w:divBdr>
    </w:div>
    <w:div w:id="2052339496">
      <w:bodyDiv w:val="1"/>
      <w:marLeft w:val="0"/>
      <w:marRight w:val="0"/>
      <w:marTop w:val="0"/>
      <w:marBottom w:val="0"/>
      <w:divBdr>
        <w:top w:val="none" w:sz="0" w:space="0" w:color="auto"/>
        <w:left w:val="none" w:sz="0" w:space="0" w:color="auto"/>
        <w:bottom w:val="none" w:sz="0" w:space="0" w:color="auto"/>
        <w:right w:val="none" w:sz="0" w:space="0" w:color="auto"/>
      </w:divBdr>
    </w:div>
    <w:div w:id="2079355258">
      <w:bodyDiv w:val="1"/>
      <w:marLeft w:val="0"/>
      <w:marRight w:val="0"/>
      <w:marTop w:val="0"/>
      <w:marBottom w:val="0"/>
      <w:divBdr>
        <w:top w:val="none" w:sz="0" w:space="0" w:color="auto"/>
        <w:left w:val="none" w:sz="0" w:space="0" w:color="auto"/>
        <w:bottom w:val="none" w:sz="0" w:space="0" w:color="auto"/>
        <w:right w:val="none" w:sz="0" w:space="0" w:color="auto"/>
      </w:divBdr>
    </w:div>
    <w:div w:id="21078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93/milmed/usab108" TargetMode="External"/><Relationship Id="rId18" Type="http://schemas.openxmlformats.org/officeDocument/2006/relationships/hyperlink" Target="https://doi.org/10.1093/milmed/usac36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med.ncbi.nlm.nih.gov/29226821/" TargetMode="External"/><Relationship Id="rId7" Type="http://schemas.microsoft.com/office/2011/relationships/commentsExtended" Target="commentsExtended.xml"/><Relationship Id="rId12" Type="http://schemas.openxmlformats.org/officeDocument/2006/relationships/hyperlink" Target="https://doi.org/10.1097/TA.0000000000004063" TargetMode="External"/><Relationship Id="rId17" Type="http://schemas.openxmlformats.org/officeDocument/2006/relationships/hyperlink" Target="https://airwars.org/wp-content/uploads/2018/05/Airwars-Death-in-the-City-web.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93/milmed/usac366" TargetMode="External"/><Relationship Id="rId20" Type="http://schemas.openxmlformats.org/officeDocument/2006/relationships/hyperlink" Target="https://doi.org/10.1093/milmed/usab108"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36/bmj.a13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7/TA.0000000000004063" TargetMode="External"/><Relationship Id="rId23" Type="http://schemas.openxmlformats.org/officeDocument/2006/relationships/hyperlink" Target="https://doi.org/10.1186/s13049-024-01299-7" TargetMode="External"/><Relationship Id="rId10" Type="http://schemas.openxmlformats.org/officeDocument/2006/relationships/hyperlink" Target="https://doi.org/10.3389/fpubh.2021.765261" TargetMode="External"/><Relationship Id="rId19" Type="http://schemas.openxmlformats.org/officeDocument/2006/relationships/hyperlink" Target="https://doi.org/10.1073/pnas.230737212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77/2053168020972816" TargetMode="External"/><Relationship Id="rId22" Type="http://schemas.openxmlformats.org/officeDocument/2006/relationships/hyperlink" Target="https://doi.org/10.1093/milmed/usab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F4E4-4A09-41C2-B3A2-6F39836E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6433</TotalTime>
  <Pages>8</Pages>
  <Words>4158</Words>
  <Characters>23701</Characters>
  <Application>Microsoft Office Word</Application>
  <DocSecurity>0</DocSecurity>
  <Lines>197</Lines>
  <Paragraphs>55</Paragraphs>
  <ScaleCrop>false</ScaleCrop>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Song</dc:creator>
  <cp:keywords/>
  <dc:description/>
  <cp:lastModifiedBy>Emily Song</cp:lastModifiedBy>
  <cp:revision>311</cp:revision>
  <dcterms:created xsi:type="dcterms:W3CDTF">2025-01-30T23:23:00Z</dcterms:created>
  <dcterms:modified xsi:type="dcterms:W3CDTF">2025-04-21T02:51:00Z</dcterms:modified>
</cp:coreProperties>
</file>