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11849-11</w:t>
      </w:r>
    </w:p>
    <w:p>
      <w:pPr>
        <w:pStyle w:val="Heading2"/>
      </w:pPr>
      <w:r>
        <w:t>Indications</w:t>
      </w:r>
    </w:p>
    <w:p>
      <w:r>
        <w:t>Patient with a history of chronic constipation, colon polyps, diabetes, hypertension, hyperlipidemia, stroke, and recently positive FIT test. History of intestinal metaplasia for upper EGD procedure. Here for mapping biopsy.</w:t>
      </w:r>
    </w:p>
    <w:p>
      <w:pPr>
        <w:pStyle w:val="Heading2"/>
      </w:pPr>
      <w:r>
        <w:t>EGD Findings</w:t>
      </w:r>
    </w:p>
    <w:p>
      <w:r>
        <w:t>A high-definition endoscope was advanced to the duodenum</w:t>
      </w:r>
    </w:p>
    <w:p>
      <w:r>
        <w:rPr>
          <w:b/>
        </w:rPr>
        <w:t>Esophagus:</w:t>
      </w:r>
    </w:p>
    <w:p>
      <w:r>
        <w:t>The esophagus was normal. The C-line was at 36 cm, and there was a 2 cm hiatal hernia.</w:t>
      </w:r>
    </w:p>
    <w:p>
      <w:r>
        <w:rPr>
          <w:b/>
        </w:rPr>
        <w:t>Stomach:</w:t>
      </w:r>
    </w:p>
    <w:p>
      <w:r>
        <w:t>The stomach had diffuse mild erythema. Mapping biopsies were taken from the antrum greater curvature, antrum lesser curvature, body greater and body lesser curvature, and cardia.</w:t>
      </w:r>
    </w:p>
    <w:p>
      <w:r>
        <w:rPr>
          <w:b/>
        </w:rPr>
        <w:t>Duodenum:</w:t>
      </w:r>
    </w:p>
    <w:p>
      <w:r>
        <w:t>Normal duodenum. Mapping biopsies were taken.</w:t>
      </w:r>
    </w:p>
    <w:p>
      <w:r>
        <w:rPr>
          <w:b/>
        </w:rPr>
        <w:t>EGD Findings</w:t>
      </w:r>
    </w:p>
    <w:p>
      <w:r>
        <w:t>none?</w:t>
      </w:r>
    </w:p>
    <w:p>
      <w:pPr>
        <w:pStyle w:val="Heading2"/>
      </w:pPr>
      <w:r>
        <w:t>Impressions</w:t>
      </w:r>
    </w:p>
    <w:p>
      <w:pPr>
        <w:spacing w:after="0"/>
      </w:pPr>
      <w:r>
        <w:t>1. Normal esophagus with a 2 cm hiatal hernia.</w:t>
      </w:r>
    </w:p>
    <w:p>
      <w:pPr>
        <w:spacing w:after="0"/>
      </w:pPr>
      <w:r>
        <w:t>2. Diffuse mild erythema in the stomach.</w:t>
      </w:r>
    </w:p>
    <w:p>
      <w:pPr>
        <w:spacing w:after="0"/>
      </w:pPr>
      <w:r>
        <w:t>3. Mapping biopsies taken from the stomach and duodenum.</w:t>
      </w:r>
    </w:p>
    <w:p>
      <w:pPr>
        <w:pStyle w:val="Heading2"/>
      </w:pPr>
      <w:r>
        <w:t>Recommendations</w:t>
      </w:r>
    </w:p>
    <w:p>
      <w:pPr>
        <w:spacing w:after="0"/>
      </w:pPr>
      <w:r>
        <w:t>1. Follow up pathology results.</w:t>
      </w:r>
    </w:p>
    <w:p>
      <w:pPr>
        <w:spacing w:after="0"/>
      </w:pPr>
      <w:r>
        <w:t>2. Advance diet as tolerated.</w:t>
      </w:r>
    </w:p>
    <w:p>
      <w:pPr>
        <w:spacing w:after="0"/>
      </w:pPr>
      <w:r>
        <w:t>3. Resume current medications.</w:t>
      </w:r>
    </w:p>
    <w:p>
      <w:pPr>
        <w:spacing w:after="0"/>
      </w:pPr>
      <w:r>
        <w:t>4. Follow up with referring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